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3A82" w:rsidRDefault="00A340FB" w:rsidP="005F18FB">
      <w:pPr>
        <w:pStyle w:val="Titre1"/>
        <w:contextualSpacing w:val="0"/>
        <w:jc w:val="center"/>
      </w:pPr>
      <w:r>
        <w:rPr>
          <w:u w:val="single"/>
        </w:rPr>
        <w:t xml:space="preserve">Tutoriel : la compréhension </w:t>
      </w:r>
      <w:r w:rsidR="004A3DE0">
        <w:rPr>
          <w:u w:val="single"/>
        </w:rPr>
        <w:t xml:space="preserve">orale </w:t>
      </w:r>
      <w:r>
        <w:rPr>
          <w:u w:val="single"/>
        </w:rPr>
        <w:t>de documents audio/vidéo</w:t>
      </w:r>
    </w:p>
    <w:p w:rsidR="002A3A82" w:rsidRDefault="002A3A82">
      <w:pPr>
        <w:pStyle w:val="normal0"/>
      </w:pPr>
    </w:p>
    <w:p w:rsidR="002A3A82" w:rsidRDefault="002A3A82">
      <w:pPr>
        <w:pStyle w:val="normal0"/>
      </w:pPr>
    </w:p>
    <w:p w:rsidR="002A3A82" w:rsidRDefault="003C41A8">
      <w:pPr>
        <w:pStyle w:val="normal0"/>
      </w:pPr>
      <w:r>
        <w:rPr>
          <w:b/>
        </w:rPr>
        <w:t xml:space="preserve">LISTE DE </w:t>
      </w:r>
      <w:r w:rsidR="00A340FB">
        <w:rPr>
          <w:b/>
        </w:rPr>
        <w:t>QUESTIONS A SE POSER EN AMONT</w:t>
      </w:r>
      <w:r w:rsidR="007A0AD7">
        <w:rPr>
          <w:b/>
        </w:rPr>
        <w:t xml:space="preserve"> </w:t>
      </w:r>
      <w:r w:rsidR="00A340FB">
        <w:rPr>
          <w:b/>
        </w:rPr>
        <w:t>:</w:t>
      </w:r>
    </w:p>
    <w:p w:rsidR="002A3A82" w:rsidRDefault="002A3A82">
      <w:pPr>
        <w:pStyle w:val="normal0"/>
      </w:pPr>
    </w:p>
    <w:p w:rsidR="002A3A82" w:rsidRPr="003C41A8" w:rsidRDefault="00A340FB">
      <w:pPr>
        <w:pStyle w:val="Titre3"/>
        <w:ind w:hanging="359"/>
        <w:contextualSpacing w:val="0"/>
        <w:rPr>
          <w:color w:val="E36C0A" w:themeColor="accent6" w:themeShade="BF"/>
          <w:sz w:val="22"/>
        </w:rPr>
      </w:pPr>
      <w:bookmarkStart w:id="0" w:name="h.yne61hrisggj" w:colFirst="0" w:colLast="0"/>
      <w:bookmarkEnd w:id="0"/>
      <w:r w:rsidRPr="003C41A8">
        <w:rPr>
          <w:color w:val="E36C0A" w:themeColor="accent6" w:themeShade="BF"/>
          <w:sz w:val="22"/>
        </w:rPr>
        <w:t xml:space="preserve">1.       </w:t>
      </w:r>
      <w:r w:rsidR="004B4262">
        <w:rPr>
          <w:color w:val="E36C0A" w:themeColor="accent6" w:themeShade="BF"/>
          <w:sz w:val="22"/>
        </w:rPr>
        <w:t>A</w:t>
      </w:r>
      <w:r w:rsidR="003C41A8" w:rsidRPr="003C41A8">
        <w:rPr>
          <w:color w:val="E36C0A" w:themeColor="accent6" w:themeShade="BF"/>
          <w:sz w:val="22"/>
        </w:rPr>
        <w:t xml:space="preserve"> quel moment </w:t>
      </w:r>
      <w:r w:rsidR="004B4262">
        <w:rPr>
          <w:color w:val="E36C0A" w:themeColor="accent6" w:themeShade="BF"/>
          <w:sz w:val="22"/>
        </w:rPr>
        <w:t>le document</w:t>
      </w:r>
      <w:r w:rsidRPr="003C41A8">
        <w:rPr>
          <w:color w:val="E36C0A" w:themeColor="accent6" w:themeShade="BF"/>
          <w:sz w:val="22"/>
        </w:rPr>
        <w:t xml:space="preserve"> s’inscrit</w:t>
      </w:r>
      <w:r w:rsidR="004B4262">
        <w:rPr>
          <w:color w:val="E36C0A" w:themeColor="accent6" w:themeShade="BF"/>
          <w:sz w:val="22"/>
        </w:rPr>
        <w:t>-il</w:t>
      </w:r>
      <w:r w:rsidRPr="003C41A8">
        <w:rPr>
          <w:color w:val="E36C0A" w:themeColor="accent6" w:themeShade="BF"/>
          <w:sz w:val="22"/>
        </w:rPr>
        <w:t xml:space="preserve"> dans la séquence pédagogique </w:t>
      </w:r>
      <w:r w:rsidR="003C41A8" w:rsidRPr="003C41A8">
        <w:rPr>
          <w:color w:val="E36C0A" w:themeColor="accent6" w:themeShade="BF"/>
          <w:sz w:val="22"/>
        </w:rPr>
        <w:t>?</w:t>
      </w:r>
      <w:r w:rsidR="004B4262">
        <w:rPr>
          <w:color w:val="E36C0A" w:themeColor="accent6" w:themeShade="BF"/>
          <w:sz w:val="22"/>
        </w:rPr>
        <w:t xml:space="preserve"> A quelles fins ?</w:t>
      </w:r>
      <w:r w:rsidR="00C355EE">
        <w:rPr>
          <w:color w:val="E36C0A" w:themeColor="accent6" w:themeShade="BF"/>
          <w:sz w:val="22"/>
        </w:rPr>
        <w:t xml:space="preserve"> Lié à quelle problématique</w:t>
      </w:r>
      <w:r w:rsidR="00D756D4">
        <w:rPr>
          <w:color w:val="E36C0A" w:themeColor="accent6" w:themeShade="BF"/>
          <w:sz w:val="22"/>
        </w:rPr>
        <w:t xml:space="preserve">/quel questionnement </w:t>
      </w:r>
      <w:r w:rsidR="00C355EE">
        <w:rPr>
          <w:color w:val="E36C0A" w:themeColor="accent6" w:themeShade="BF"/>
          <w:sz w:val="22"/>
        </w:rPr>
        <w:t xml:space="preserve"> ?</w:t>
      </w:r>
    </w:p>
    <w:p w:rsidR="003C41A8" w:rsidRDefault="003C41A8">
      <w:pPr>
        <w:pStyle w:val="normal0"/>
        <w:rPr>
          <w:b/>
          <w:color w:val="38761D"/>
          <w:sz w:val="20"/>
        </w:rPr>
      </w:pPr>
    </w:p>
    <w:p w:rsidR="002A3A82" w:rsidRPr="003C41A8" w:rsidRDefault="003C41A8">
      <w:pPr>
        <w:pStyle w:val="normal0"/>
        <w:rPr>
          <w:color w:val="auto"/>
          <w:sz w:val="20"/>
        </w:rPr>
      </w:pPr>
      <w:r w:rsidRPr="003C41A8">
        <w:rPr>
          <w:b/>
          <w:color w:val="auto"/>
          <w:sz w:val="20"/>
        </w:rPr>
        <w:t>L</w:t>
      </w:r>
      <w:r w:rsidR="00A340FB" w:rsidRPr="003C41A8">
        <w:rPr>
          <w:b/>
          <w:color w:val="auto"/>
          <w:sz w:val="20"/>
        </w:rPr>
        <w:t xml:space="preserve">e document audio/vidéo peut être utilisé </w:t>
      </w:r>
      <w:r w:rsidRPr="003C41A8">
        <w:rPr>
          <w:b/>
          <w:color w:val="auto"/>
          <w:sz w:val="20"/>
        </w:rPr>
        <w:t>:</w:t>
      </w:r>
    </w:p>
    <w:p w:rsidR="002A3A82" w:rsidRDefault="00A340FB">
      <w:pPr>
        <w:pStyle w:val="normal0"/>
        <w:rPr>
          <w:b/>
          <w:color w:val="auto"/>
          <w:sz w:val="20"/>
        </w:rPr>
      </w:pPr>
      <w:r w:rsidRPr="003C41A8">
        <w:rPr>
          <w:b/>
          <w:color w:val="auto"/>
          <w:sz w:val="20"/>
        </w:rPr>
        <w:t xml:space="preserve">* </w:t>
      </w:r>
      <w:r w:rsidR="003C41A8" w:rsidRPr="003C41A8">
        <w:rPr>
          <w:b/>
          <w:color w:val="auto"/>
          <w:sz w:val="20"/>
          <w:u w:val="single"/>
        </w:rPr>
        <w:t xml:space="preserve">en </w:t>
      </w:r>
      <w:r w:rsidRPr="003C41A8">
        <w:rPr>
          <w:b/>
          <w:color w:val="auto"/>
          <w:sz w:val="20"/>
          <w:u w:val="single"/>
        </w:rPr>
        <w:t>entraînement</w:t>
      </w:r>
      <w:r w:rsidRPr="003C41A8">
        <w:rPr>
          <w:b/>
          <w:color w:val="auto"/>
          <w:sz w:val="20"/>
        </w:rPr>
        <w:t xml:space="preserve"> : dans ce cas, penser à choisir un doc qui entraîne aux stratégies listées ci-dessous et penser aussi à choisir un support qui encourage les élèves (= qui les rassurent dans leur apprentissage, donc attention au niveau de difficulté pour ne pas décourager l’élève)</w:t>
      </w:r>
      <w:r w:rsidR="00F820EB">
        <w:rPr>
          <w:b/>
          <w:color w:val="auto"/>
          <w:sz w:val="20"/>
        </w:rPr>
        <w:t>. il est donc conseillé de bien</w:t>
      </w:r>
      <w:r w:rsidR="003C41A8">
        <w:rPr>
          <w:b/>
          <w:color w:val="auto"/>
          <w:sz w:val="20"/>
        </w:rPr>
        <w:t xml:space="preserve"> lister les pré-</w:t>
      </w:r>
      <w:r w:rsidR="005F18FB">
        <w:rPr>
          <w:b/>
          <w:color w:val="auto"/>
          <w:sz w:val="20"/>
        </w:rPr>
        <w:t>requis pour aborder le document :</w:t>
      </w:r>
    </w:p>
    <w:p w:rsidR="005F18FB" w:rsidRPr="003C41A8" w:rsidRDefault="005F18FB" w:rsidP="005F18FB">
      <w:pPr>
        <w:pStyle w:val="normal0"/>
        <w:ind w:left="359" w:hanging="359"/>
        <w:rPr>
          <w:sz w:val="20"/>
        </w:rPr>
      </w:pPr>
      <w:r w:rsidRPr="003C41A8">
        <w:rPr>
          <w:b/>
          <w:color w:val="38761D"/>
          <w:sz w:val="20"/>
        </w:rPr>
        <w:t>- veiller à ce que les élèves soient dans des conditions d’écoute favorables</w:t>
      </w:r>
    </w:p>
    <w:p w:rsidR="005F18FB" w:rsidRPr="003C41A8" w:rsidRDefault="005F18FB" w:rsidP="005F18FB">
      <w:pPr>
        <w:pStyle w:val="normal0"/>
        <w:ind w:left="359" w:hanging="359"/>
        <w:rPr>
          <w:sz w:val="20"/>
        </w:rPr>
      </w:pPr>
      <w:r w:rsidRPr="003C41A8">
        <w:rPr>
          <w:b/>
          <w:color w:val="38761D"/>
          <w:sz w:val="20"/>
        </w:rPr>
        <w:t>- veiller au silence</w:t>
      </w:r>
    </w:p>
    <w:p w:rsidR="005F18FB" w:rsidRDefault="005F18FB" w:rsidP="005F18FB">
      <w:pPr>
        <w:pStyle w:val="normal0"/>
        <w:ind w:left="359" w:hanging="359"/>
        <w:rPr>
          <w:sz w:val="20"/>
        </w:rPr>
      </w:pPr>
      <w:r w:rsidRPr="003C41A8">
        <w:rPr>
          <w:b/>
          <w:color w:val="38761D"/>
          <w:sz w:val="20"/>
        </w:rPr>
        <w:t>- que demander aux élèves lors de la première écoute ? prise de notes ou pas ?</w:t>
      </w:r>
    </w:p>
    <w:p w:rsidR="005F18FB" w:rsidRPr="003C41A8" w:rsidRDefault="005F18FB" w:rsidP="005F18FB">
      <w:pPr>
        <w:pStyle w:val="normal0"/>
        <w:ind w:left="359" w:hanging="359"/>
        <w:rPr>
          <w:sz w:val="20"/>
        </w:rPr>
      </w:pPr>
      <w:r w:rsidRPr="003C41A8">
        <w:rPr>
          <w:b/>
          <w:color w:val="38761D"/>
          <w:sz w:val="20"/>
        </w:rPr>
        <w:t>et hors-classe ?</w:t>
      </w:r>
    </w:p>
    <w:p w:rsidR="005F18FB" w:rsidRPr="003C41A8" w:rsidRDefault="005F18FB" w:rsidP="005F18FB">
      <w:pPr>
        <w:pStyle w:val="normal0"/>
        <w:ind w:left="359" w:hanging="359"/>
        <w:rPr>
          <w:sz w:val="20"/>
        </w:rPr>
      </w:pPr>
      <w:r w:rsidRPr="003C41A8">
        <w:rPr>
          <w:b/>
          <w:color w:val="38761D"/>
          <w:sz w:val="20"/>
        </w:rPr>
        <w:t>- externaliser les écoutes et intégrer ce travail d’écoute comme tout autre homework</w:t>
      </w:r>
    </w:p>
    <w:p w:rsidR="005F18FB" w:rsidRPr="005F18FB" w:rsidRDefault="005F18FB" w:rsidP="005F18FB">
      <w:pPr>
        <w:pStyle w:val="normal0"/>
        <w:ind w:hanging="359"/>
        <w:rPr>
          <w:sz w:val="20"/>
        </w:rPr>
      </w:pPr>
    </w:p>
    <w:p w:rsidR="002A3A82" w:rsidRPr="003C41A8" w:rsidRDefault="00A340FB">
      <w:pPr>
        <w:pStyle w:val="normal0"/>
        <w:rPr>
          <w:color w:val="auto"/>
          <w:sz w:val="20"/>
        </w:rPr>
      </w:pPr>
      <w:r w:rsidRPr="003C41A8">
        <w:rPr>
          <w:b/>
          <w:color w:val="auto"/>
          <w:sz w:val="20"/>
        </w:rPr>
        <w:t xml:space="preserve">* </w:t>
      </w:r>
      <w:r w:rsidR="003C41A8" w:rsidRPr="005F18FB">
        <w:rPr>
          <w:b/>
          <w:color w:val="auto"/>
          <w:sz w:val="20"/>
          <w:u w:val="single"/>
        </w:rPr>
        <w:t>pour une situation d'</w:t>
      </w:r>
      <w:r w:rsidRPr="005F18FB">
        <w:rPr>
          <w:b/>
          <w:color w:val="auto"/>
          <w:sz w:val="20"/>
          <w:u w:val="single"/>
        </w:rPr>
        <w:t>évaluation</w:t>
      </w:r>
      <w:r w:rsidRPr="003C41A8">
        <w:rPr>
          <w:b/>
          <w:color w:val="auto"/>
          <w:sz w:val="20"/>
        </w:rPr>
        <w:t xml:space="preserve"> : un même document peut être utilisé à plusieurs niveaux de compétence. </w:t>
      </w:r>
      <w:r w:rsidR="003C41A8">
        <w:rPr>
          <w:b/>
          <w:color w:val="auto"/>
          <w:sz w:val="20"/>
        </w:rPr>
        <w:t>La grille a pour vocation de faire apparaître les attentes de chaque palier.</w:t>
      </w:r>
    </w:p>
    <w:p w:rsidR="003C41A8" w:rsidRDefault="003C41A8">
      <w:pPr>
        <w:pStyle w:val="normal0"/>
        <w:rPr>
          <w:b/>
          <w:color w:val="auto"/>
          <w:sz w:val="20"/>
        </w:rPr>
      </w:pPr>
    </w:p>
    <w:p w:rsidR="002A3A82" w:rsidRPr="003C41A8" w:rsidRDefault="00A340FB">
      <w:pPr>
        <w:pStyle w:val="normal0"/>
        <w:rPr>
          <w:color w:val="auto"/>
          <w:sz w:val="20"/>
        </w:rPr>
      </w:pPr>
      <w:r w:rsidRPr="003C41A8">
        <w:rPr>
          <w:b/>
          <w:color w:val="auto"/>
          <w:sz w:val="20"/>
        </w:rPr>
        <w:t xml:space="preserve">Dans les deux cas, </w:t>
      </w:r>
      <w:r w:rsidR="003C41A8">
        <w:rPr>
          <w:b/>
          <w:color w:val="auto"/>
          <w:sz w:val="20"/>
        </w:rPr>
        <w:t xml:space="preserve">pour le lycée, </w:t>
      </w:r>
      <w:r w:rsidRPr="003C41A8">
        <w:rPr>
          <w:b/>
          <w:color w:val="auto"/>
          <w:sz w:val="20"/>
        </w:rPr>
        <w:t>ces documents doivent s’inscrire dans une des problématiques formulées en classe et intégrées aux 4 notions du programme</w:t>
      </w:r>
      <w:r w:rsidR="003C41A8">
        <w:rPr>
          <w:b/>
          <w:color w:val="auto"/>
          <w:sz w:val="20"/>
        </w:rPr>
        <w:t xml:space="preserve">. </w:t>
      </w:r>
    </w:p>
    <w:p w:rsidR="002A3A82" w:rsidRDefault="00A340FB">
      <w:pPr>
        <w:pStyle w:val="normal0"/>
        <w:ind w:hanging="359"/>
        <w:rPr>
          <w:i/>
          <w:color w:val="0000FF"/>
          <w:sz w:val="20"/>
        </w:rPr>
      </w:pPr>
      <w:r w:rsidRPr="003C41A8">
        <w:rPr>
          <w:i/>
          <w:color w:val="0000FF"/>
          <w:sz w:val="20"/>
        </w:rPr>
        <w:tab/>
      </w:r>
    </w:p>
    <w:p w:rsidR="002A3A82" w:rsidRDefault="001656BF">
      <w:pPr>
        <w:pStyle w:val="normal0"/>
        <w:ind w:hanging="359"/>
        <w:rPr>
          <w:sz w:val="20"/>
        </w:rPr>
      </w:pPr>
      <w:bookmarkStart w:id="1" w:name="h.so7krhtr55hs" w:colFirst="0" w:colLast="0"/>
      <w:bookmarkEnd w:id="1"/>
      <w:r>
        <w:rPr>
          <w:noProof/>
          <w:sz w:val="20"/>
        </w:rPr>
        <w:pict>
          <v:shapetype id="_x0000_t202" coordsize="21600,21600" o:spt="202" path="m,l,21600r21600,l21600,xe">
            <v:stroke joinstyle="miter"/>
            <v:path gradientshapeok="t" o:connecttype="rect"/>
          </v:shapetype>
          <v:shape id="_x0000_s1027" type="#_x0000_t202" style="position:absolute;margin-left:-9.75pt;margin-top:.2pt;width:467.25pt;height:145.5pt;z-index:251658240">
            <v:textbox>
              <w:txbxContent>
                <w:p w:rsidR="005F18FB" w:rsidRPr="003C41A8" w:rsidRDefault="005F18FB" w:rsidP="005F18FB">
                  <w:pPr>
                    <w:pStyle w:val="normal0"/>
                    <w:rPr>
                      <w:b/>
                      <w:sz w:val="20"/>
                    </w:rPr>
                  </w:pPr>
                  <w:r w:rsidRPr="003C41A8">
                    <w:rPr>
                      <w:b/>
                      <w:sz w:val="20"/>
                    </w:rPr>
                    <w:t>RAPPEL</w:t>
                  </w:r>
                </w:p>
                <w:p w:rsidR="005F18FB" w:rsidRPr="003C41A8" w:rsidRDefault="005F18FB" w:rsidP="005F18FB">
                  <w:pPr>
                    <w:pStyle w:val="normal0"/>
                    <w:rPr>
                      <w:sz w:val="20"/>
                    </w:rPr>
                  </w:pPr>
                  <w:r w:rsidRPr="003C41A8">
                    <w:rPr>
                      <w:b/>
                      <w:color w:val="38761D"/>
                      <w:sz w:val="20"/>
                    </w:rPr>
                    <w:t>Choix du document pour le format CO bac :</w:t>
                  </w:r>
                </w:p>
                <w:p w:rsidR="005F18FB" w:rsidRPr="00372512" w:rsidRDefault="005F18FB" w:rsidP="005F18FB">
                  <w:pPr>
                    <w:pStyle w:val="normal0"/>
                    <w:ind w:left="720" w:hanging="359"/>
                    <w:rPr>
                      <w:i/>
                      <w:sz w:val="20"/>
                    </w:rPr>
                  </w:pPr>
                  <w:r w:rsidRPr="00372512">
                    <w:rPr>
                      <w:b/>
                      <w:i/>
                      <w:color w:val="38761D"/>
                      <w:sz w:val="20"/>
                    </w:rPr>
                    <w:t>* Il pourra s’agir de monologues, de dialogues, de discours, de discussions. Il pourra s’agir d’extraits d’émissions de radio, de documentaires, de films, de journaux télévisés. Il ne s’agira en aucune façon d’enregistrements issus de manuels ou de documents conçus pour être lus.</w:t>
                  </w:r>
                </w:p>
                <w:p w:rsidR="005F18FB" w:rsidRPr="00372512" w:rsidRDefault="005F18FB" w:rsidP="005F18FB">
                  <w:pPr>
                    <w:pStyle w:val="normal0"/>
                    <w:ind w:left="720" w:hanging="359"/>
                    <w:rPr>
                      <w:i/>
                      <w:sz w:val="20"/>
                    </w:rPr>
                  </w:pPr>
                  <w:r w:rsidRPr="00372512">
                    <w:rPr>
                      <w:b/>
                      <w:i/>
                      <w:color w:val="38761D"/>
                      <w:sz w:val="20"/>
                    </w:rPr>
                    <w:t>* 1 document d’une minute-1mn30 ou deux documents différents (monologue+dialogue) de durée maximale équivalente</w:t>
                  </w:r>
                </w:p>
                <w:p w:rsidR="005F18FB" w:rsidRPr="00372512" w:rsidRDefault="005F18FB" w:rsidP="005F18FB">
                  <w:pPr>
                    <w:pStyle w:val="normal0"/>
                    <w:ind w:left="720" w:hanging="359"/>
                    <w:rPr>
                      <w:i/>
                      <w:sz w:val="20"/>
                    </w:rPr>
                  </w:pPr>
                  <w:r w:rsidRPr="00372512">
                    <w:rPr>
                      <w:b/>
                      <w:i/>
                      <w:color w:val="38761D"/>
                      <w:sz w:val="20"/>
                    </w:rPr>
                    <w:t xml:space="preserve">* 3 écoutes séparées de une minute de prise de notes et 10 mns après la 3ème écoute pour écrire un paragraphe en français de ce qui a été compris et </w:t>
                  </w:r>
                  <w:r w:rsidRPr="00372512">
                    <w:rPr>
                      <w:b/>
                      <w:i/>
                      <w:color w:val="38761D"/>
                      <w:sz w:val="20"/>
                      <w:u w:val="single"/>
                    </w:rPr>
                    <w:t>entendu</w:t>
                  </w:r>
                  <w:r w:rsidRPr="00372512">
                    <w:rPr>
                      <w:b/>
                      <w:i/>
                      <w:color w:val="38761D"/>
                      <w:sz w:val="20"/>
                    </w:rPr>
                    <w:t>.</w:t>
                  </w:r>
                </w:p>
                <w:p w:rsidR="005F18FB" w:rsidRPr="003C41A8" w:rsidRDefault="005F18FB" w:rsidP="005F18FB">
                  <w:pPr>
                    <w:ind w:left="720"/>
                  </w:pPr>
                </w:p>
                <w:p w:rsidR="005F18FB" w:rsidRDefault="005F18FB" w:rsidP="005F18FB">
                  <w:pPr>
                    <w:ind w:left="4320"/>
                  </w:pPr>
                </w:p>
              </w:txbxContent>
            </v:textbox>
          </v:shape>
        </w:pict>
      </w:r>
    </w:p>
    <w:p w:rsidR="005F18FB" w:rsidRDefault="005F18FB">
      <w:pPr>
        <w:pStyle w:val="normal0"/>
        <w:ind w:hanging="359"/>
        <w:rPr>
          <w:sz w:val="20"/>
        </w:rPr>
      </w:pPr>
    </w:p>
    <w:p w:rsidR="005F18FB" w:rsidRDefault="005F18FB">
      <w:pPr>
        <w:pStyle w:val="normal0"/>
        <w:ind w:hanging="359"/>
        <w:rPr>
          <w:sz w:val="20"/>
        </w:rPr>
      </w:pPr>
    </w:p>
    <w:p w:rsidR="005F18FB" w:rsidRDefault="005F18FB">
      <w:pPr>
        <w:pStyle w:val="normal0"/>
        <w:ind w:hanging="359"/>
        <w:rPr>
          <w:sz w:val="20"/>
        </w:rPr>
      </w:pPr>
    </w:p>
    <w:p w:rsidR="005F18FB" w:rsidRDefault="005F18FB">
      <w:pPr>
        <w:pStyle w:val="normal0"/>
        <w:ind w:hanging="359"/>
        <w:rPr>
          <w:sz w:val="20"/>
        </w:rPr>
      </w:pPr>
    </w:p>
    <w:p w:rsidR="005F18FB" w:rsidRDefault="005F18FB">
      <w:pPr>
        <w:pStyle w:val="normal0"/>
        <w:ind w:hanging="359"/>
        <w:rPr>
          <w:sz w:val="20"/>
        </w:rPr>
      </w:pPr>
    </w:p>
    <w:p w:rsidR="005F18FB" w:rsidRDefault="005F18FB">
      <w:pPr>
        <w:pStyle w:val="normal0"/>
        <w:ind w:hanging="359"/>
        <w:rPr>
          <w:sz w:val="20"/>
        </w:rPr>
      </w:pPr>
    </w:p>
    <w:p w:rsidR="005F18FB" w:rsidRDefault="005F18FB">
      <w:pPr>
        <w:pStyle w:val="normal0"/>
        <w:ind w:hanging="359"/>
        <w:rPr>
          <w:sz w:val="20"/>
        </w:rPr>
      </w:pPr>
    </w:p>
    <w:p w:rsidR="005F18FB" w:rsidRPr="003C41A8" w:rsidRDefault="005F18FB">
      <w:pPr>
        <w:pStyle w:val="normal0"/>
        <w:ind w:hanging="359"/>
        <w:rPr>
          <w:sz w:val="20"/>
        </w:rPr>
      </w:pPr>
    </w:p>
    <w:p w:rsidR="002A3A82" w:rsidRPr="003C41A8" w:rsidRDefault="002A3A82">
      <w:pPr>
        <w:pStyle w:val="normal0"/>
        <w:ind w:hanging="359"/>
        <w:rPr>
          <w:sz w:val="20"/>
        </w:rPr>
      </w:pPr>
    </w:p>
    <w:p w:rsidR="005F18FB" w:rsidRDefault="005F18FB">
      <w:pPr>
        <w:pStyle w:val="normal0"/>
        <w:ind w:hanging="359"/>
        <w:rPr>
          <w:b/>
          <w:color w:val="38761D"/>
          <w:sz w:val="20"/>
        </w:rPr>
      </w:pPr>
    </w:p>
    <w:p w:rsidR="005F18FB" w:rsidRDefault="005F18FB">
      <w:pPr>
        <w:pStyle w:val="normal0"/>
        <w:ind w:hanging="359"/>
        <w:rPr>
          <w:b/>
          <w:color w:val="38761D"/>
          <w:sz w:val="20"/>
        </w:rPr>
      </w:pPr>
    </w:p>
    <w:p w:rsidR="005F18FB" w:rsidRDefault="005F18FB">
      <w:pPr>
        <w:pStyle w:val="normal0"/>
        <w:ind w:hanging="359"/>
        <w:rPr>
          <w:b/>
          <w:color w:val="38761D"/>
          <w:sz w:val="20"/>
        </w:rPr>
      </w:pPr>
    </w:p>
    <w:p w:rsidR="005F18FB" w:rsidRPr="005F18FB" w:rsidRDefault="00A340FB">
      <w:pPr>
        <w:pStyle w:val="Titre3"/>
        <w:ind w:hanging="359"/>
        <w:contextualSpacing w:val="0"/>
        <w:rPr>
          <w:color w:val="E36C0A" w:themeColor="accent6" w:themeShade="BF"/>
          <w:sz w:val="22"/>
        </w:rPr>
      </w:pPr>
      <w:bookmarkStart w:id="2" w:name="h.fk31w29156a8" w:colFirst="0" w:colLast="0"/>
      <w:bookmarkEnd w:id="2"/>
      <w:r w:rsidRPr="005F18FB">
        <w:rPr>
          <w:color w:val="E36C0A" w:themeColor="accent6" w:themeShade="BF"/>
          <w:sz w:val="22"/>
        </w:rPr>
        <w:t xml:space="preserve">2.       </w:t>
      </w:r>
      <w:r w:rsidR="004B4262">
        <w:rPr>
          <w:color w:val="E36C0A" w:themeColor="accent6" w:themeShade="BF"/>
          <w:sz w:val="22"/>
        </w:rPr>
        <w:t>Le choix du document.</w:t>
      </w:r>
      <w:r w:rsidRPr="005F18FB">
        <w:rPr>
          <w:color w:val="E36C0A" w:themeColor="accent6" w:themeShade="BF"/>
          <w:sz w:val="22"/>
        </w:rPr>
        <w:t xml:space="preserve"> </w:t>
      </w:r>
    </w:p>
    <w:p w:rsidR="005F18FB" w:rsidRPr="005F18FB" w:rsidRDefault="005F18FB" w:rsidP="005F18FB">
      <w:pPr>
        <w:pStyle w:val="normal0"/>
      </w:pPr>
    </w:p>
    <w:p w:rsidR="004B4262" w:rsidRPr="004B4262" w:rsidRDefault="00A340FB" w:rsidP="004B4262">
      <w:pPr>
        <w:pStyle w:val="normal0"/>
        <w:ind w:left="359"/>
        <w:rPr>
          <w:b/>
          <w:color w:val="auto"/>
          <w:sz w:val="20"/>
        </w:rPr>
      </w:pPr>
      <w:r w:rsidRPr="005F18FB">
        <w:rPr>
          <w:b/>
          <w:color w:val="auto"/>
          <w:sz w:val="20"/>
        </w:rPr>
        <w:t>Rappel aussi sur l’activité de compréhension : un document audio n’existe pas seul. Il est recommandé de le lier à une autre activité langagière</w:t>
      </w:r>
      <w:r w:rsidR="005F18FB">
        <w:rPr>
          <w:b/>
          <w:color w:val="auto"/>
          <w:sz w:val="20"/>
        </w:rPr>
        <w:t>.</w:t>
      </w:r>
      <w:r w:rsidRPr="005F18FB">
        <w:rPr>
          <w:b/>
          <w:color w:val="auto"/>
          <w:sz w:val="20"/>
        </w:rPr>
        <w:t xml:space="preserve"> </w:t>
      </w:r>
      <w:r w:rsidR="004B4262">
        <w:rPr>
          <w:b/>
          <w:color w:val="auto"/>
          <w:sz w:val="20"/>
        </w:rPr>
        <w:t>L'écoute n'est pas un fin en soi. On écoute pour comprendre, réagir, commenter, interagir, apprendre.</w:t>
      </w:r>
    </w:p>
    <w:p w:rsidR="002A3A82" w:rsidRPr="005F18FB" w:rsidRDefault="002A3A82" w:rsidP="005F18FB">
      <w:pPr>
        <w:pStyle w:val="normal0"/>
        <w:ind w:left="359" w:hanging="359"/>
        <w:rPr>
          <w:color w:val="auto"/>
          <w:sz w:val="20"/>
        </w:rPr>
      </w:pPr>
    </w:p>
    <w:p w:rsidR="002A3A82" w:rsidRPr="005F18FB" w:rsidRDefault="00D71FDC" w:rsidP="005F18FB">
      <w:pPr>
        <w:pStyle w:val="normal0"/>
        <w:ind w:left="359" w:hanging="359"/>
        <w:rPr>
          <w:color w:val="auto"/>
          <w:sz w:val="20"/>
        </w:rPr>
      </w:pPr>
      <w:r>
        <w:rPr>
          <w:b/>
          <w:color w:val="auto"/>
          <w:sz w:val="20"/>
        </w:rPr>
        <w:t>a</w:t>
      </w:r>
      <w:r w:rsidR="00A340FB" w:rsidRPr="005F18FB">
        <w:rPr>
          <w:b/>
          <w:color w:val="auto"/>
          <w:sz w:val="20"/>
        </w:rPr>
        <w:t xml:space="preserve">. </w:t>
      </w:r>
      <w:r w:rsidR="005F18FB">
        <w:rPr>
          <w:b/>
          <w:color w:val="auto"/>
          <w:sz w:val="20"/>
        </w:rPr>
        <w:t xml:space="preserve">Le </w:t>
      </w:r>
      <w:r w:rsidR="00A340FB" w:rsidRPr="005F18FB">
        <w:rPr>
          <w:b/>
          <w:color w:val="auto"/>
          <w:sz w:val="20"/>
        </w:rPr>
        <w:t xml:space="preserve">document </w:t>
      </w:r>
      <w:r w:rsidR="005F18FB">
        <w:rPr>
          <w:b/>
          <w:color w:val="auto"/>
          <w:sz w:val="20"/>
        </w:rPr>
        <w:t xml:space="preserve">doit être </w:t>
      </w:r>
      <w:r w:rsidR="00A340FB" w:rsidRPr="005F18FB">
        <w:rPr>
          <w:b/>
          <w:color w:val="auto"/>
          <w:sz w:val="20"/>
        </w:rPr>
        <w:t>choi</w:t>
      </w:r>
      <w:r w:rsidR="005F18FB">
        <w:rPr>
          <w:b/>
          <w:color w:val="auto"/>
          <w:sz w:val="20"/>
        </w:rPr>
        <w:t>si</w:t>
      </w:r>
      <w:r w:rsidR="00A340FB" w:rsidRPr="005F18FB">
        <w:rPr>
          <w:b/>
          <w:color w:val="auto"/>
          <w:sz w:val="20"/>
        </w:rPr>
        <w:t xml:space="preserve"> en fonction de </w:t>
      </w:r>
      <w:r w:rsidR="004B4262">
        <w:rPr>
          <w:b/>
          <w:color w:val="auto"/>
          <w:sz w:val="20"/>
        </w:rPr>
        <w:t>:</w:t>
      </w:r>
    </w:p>
    <w:p w:rsidR="002A3A82" w:rsidRDefault="00A340FB" w:rsidP="005F18FB">
      <w:pPr>
        <w:pStyle w:val="normal0"/>
        <w:ind w:left="359" w:hanging="359"/>
        <w:rPr>
          <w:b/>
          <w:color w:val="auto"/>
          <w:sz w:val="20"/>
        </w:rPr>
      </w:pPr>
      <w:r w:rsidRPr="005F18FB">
        <w:rPr>
          <w:b/>
          <w:color w:val="auto"/>
          <w:sz w:val="20"/>
        </w:rPr>
        <w:lastRenderedPageBreak/>
        <w:t>- l</w:t>
      </w:r>
      <w:r w:rsidR="00D71FDC">
        <w:rPr>
          <w:b/>
          <w:color w:val="auto"/>
          <w:sz w:val="20"/>
        </w:rPr>
        <w:t>a tâche à accomplir</w:t>
      </w:r>
    </w:p>
    <w:p w:rsidR="002A3A82" w:rsidRDefault="00D71FDC" w:rsidP="00D71FDC">
      <w:pPr>
        <w:pStyle w:val="normal0"/>
        <w:ind w:left="359" w:hanging="359"/>
        <w:rPr>
          <w:b/>
          <w:color w:val="auto"/>
          <w:sz w:val="20"/>
        </w:rPr>
      </w:pPr>
      <w:r>
        <w:rPr>
          <w:b/>
          <w:color w:val="auto"/>
          <w:sz w:val="20"/>
        </w:rPr>
        <w:t>- son niveau de difficulté</w:t>
      </w:r>
      <w:r>
        <w:rPr>
          <w:color w:val="auto"/>
          <w:sz w:val="20"/>
        </w:rPr>
        <w:t xml:space="preserve"> </w:t>
      </w:r>
      <w:r w:rsidR="00A340FB" w:rsidRPr="005F18FB">
        <w:rPr>
          <w:b/>
          <w:color w:val="auto"/>
          <w:sz w:val="20"/>
        </w:rPr>
        <w:t>(charge lexicale, accent étranger prononcé, ...etc.)</w:t>
      </w:r>
    </w:p>
    <w:p w:rsidR="00D71FDC" w:rsidRPr="005F18FB" w:rsidRDefault="00D71FDC" w:rsidP="00D71FDC">
      <w:pPr>
        <w:pStyle w:val="normal0"/>
        <w:ind w:left="359" w:hanging="359"/>
        <w:rPr>
          <w:color w:val="auto"/>
          <w:sz w:val="20"/>
        </w:rPr>
      </w:pPr>
    </w:p>
    <w:p w:rsidR="002A3A82" w:rsidRPr="005F18FB" w:rsidRDefault="00D71FDC" w:rsidP="005F18FB">
      <w:pPr>
        <w:pStyle w:val="normal0"/>
        <w:ind w:left="359" w:hanging="359"/>
        <w:rPr>
          <w:color w:val="auto"/>
          <w:sz w:val="20"/>
        </w:rPr>
      </w:pPr>
      <w:r>
        <w:rPr>
          <w:b/>
          <w:color w:val="auto"/>
          <w:sz w:val="20"/>
        </w:rPr>
        <w:t>b</w:t>
      </w:r>
      <w:r w:rsidR="00A340FB" w:rsidRPr="005F18FB">
        <w:rPr>
          <w:b/>
          <w:color w:val="auto"/>
          <w:sz w:val="20"/>
        </w:rPr>
        <w:t xml:space="preserve">. Quel format : audio ou vidéo ? </w:t>
      </w:r>
      <w:r>
        <w:rPr>
          <w:b/>
          <w:color w:val="auto"/>
          <w:sz w:val="20"/>
        </w:rPr>
        <w:t>Laisser l'image relève d'un vrai choix pédagogique</w:t>
      </w:r>
      <w:r w:rsidR="00372512">
        <w:rPr>
          <w:b/>
          <w:color w:val="auto"/>
          <w:sz w:val="20"/>
        </w:rPr>
        <w:t>, car elle peut parfois induire l'élève en erreur.</w:t>
      </w:r>
    </w:p>
    <w:p w:rsidR="002A3A82" w:rsidRPr="003C41A8" w:rsidRDefault="002A3A82" w:rsidP="005F18FB">
      <w:pPr>
        <w:pStyle w:val="normal0"/>
        <w:ind w:left="359" w:hanging="359"/>
        <w:rPr>
          <w:sz w:val="20"/>
        </w:rPr>
      </w:pPr>
    </w:p>
    <w:p w:rsidR="002A3A82" w:rsidRPr="00D71FDC" w:rsidRDefault="00A340FB" w:rsidP="00D71FDC">
      <w:pPr>
        <w:pStyle w:val="Titre3"/>
        <w:ind w:hanging="359"/>
        <w:contextualSpacing w:val="0"/>
        <w:rPr>
          <w:color w:val="E36C0A" w:themeColor="accent6" w:themeShade="BF"/>
          <w:sz w:val="22"/>
        </w:rPr>
      </w:pPr>
      <w:bookmarkStart w:id="3" w:name="h.h2tb9rqvmi8m" w:colFirst="0" w:colLast="0"/>
      <w:bookmarkEnd w:id="3"/>
      <w:r w:rsidRPr="00D71FDC">
        <w:rPr>
          <w:color w:val="E36C0A" w:themeColor="accent6" w:themeShade="BF"/>
          <w:sz w:val="22"/>
        </w:rPr>
        <w:t>3.       A quelle(s) stratégie(s) le document va-t-il entraîner en particulier</w:t>
      </w:r>
      <w:r w:rsidR="00D71FDC" w:rsidRPr="00D71FDC">
        <w:rPr>
          <w:color w:val="E36C0A" w:themeColor="accent6" w:themeShade="BF"/>
          <w:sz w:val="22"/>
        </w:rPr>
        <w:t xml:space="preserve"> </w:t>
      </w:r>
      <w:r w:rsidRPr="00D71FDC">
        <w:rPr>
          <w:color w:val="E36C0A" w:themeColor="accent6" w:themeShade="BF"/>
          <w:sz w:val="22"/>
        </w:rPr>
        <w:t>?</w:t>
      </w:r>
    </w:p>
    <w:p w:rsidR="002A3A82" w:rsidRPr="003C41A8" w:rsidRDefault="00A340FB" w:rsidP="005F18FB">
      <w:pPr>
        <w:pStyle w:val="Titre1"/>
        <w:spacing w:before="480"/>
        <w:ind w:right="-859"/>
        <w:contextualSpacing w:val="0"/>
        <w:rPr>
          <w:sz w:val="28"/>
        </w:rPr>
      </w:pPr>
      <w:bookmarkStart w:id="4" w:name="h.5t6rn0smrmbx" w:colFirst="0" w:colLast="0"/>
      <w:bookmarkEnd w:id="4"/>
      <w:r w:rsidRPr="003C41A8">
        <w:rPr>
          <w:rFonts w:ascii="Arial" w:eastAsia="Arial" w:hAnsi="Arial" w:cs="Arial"/>
          <w:b/>
          <w:sz w:val="22"/>
        </w:rPr>
        <w:t>Acquisition de stratégies afin de mieux construire l</w:t>
      </w:r>
      <w:r w:rsidR="00D71FDC">
        <w:rPr>
          <w:rFonts w:ascii="Arial" w:eastAsia="Arial" w:hAnsi="Arial" w:cs="Arial"/>
          <w:b/>
          <w:sz w:val="22"/>
        </w:rPr>
        <w:t>'activité</w:t>
      </w:r>
      <w:r w:rsidRPr="003C41A8">
        <w:rPr>
          <w:rFonts w:ascii="Arial" w:eastAsia="Arial" w:hAnsi="Arial" w:cs="Arial"/>
          <w:b/>
          <w:sz w:val="22"/>
        </w:rPr>
        <w:t xml:space="preserve"> de compréhension de l’oral</w:t>
      </w:r>
    </w:p>
    <w:p w:rsidR="002A3A82" w:rsidRPr="003C41A8" w:rsidRDefault="002A3A82" w:rsidP="005F18FB">
      <w:pPr>
        <w:pStyle w:val="normal0"/>
        <w:ind w:left="359"/>
        <w:rPr>
          <w:sz w:val="20"/>
        </w:rPr>
      </w:pPr>
    </w:p>
    <w:tbl>
      <w:tblPr>
        <w:bidiVisual/>
        <w:tblW w:w="9160" w:type="dxa"/>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65"/>
        <w:gridCol w:w="6995"/>
      </w:tblGrid>
      <w:tr w:rsidR="002A3A82" w:rsidRPr="00852F39" w:rsidTr="00D71FDC">
        <w:tc>
          <w:tcPr>
            <w:tcW w:w="2165" w:type="dxa"/>
            <w:shd w:val="clear" w:color="auto" w:fill="DBE5F1" w:themeFill="accent1" w:themeFillTint="33"/>
            <w:tcMar>
              <w:top w:w="100" w:type="dxa"/>
              <w:left w:w="80" w:type="dxa"/>
              <w:bottom w:w="100" w:type="dxa"/>
              <w:right w:w="80" w:type="dxa"/>
            </w:tcMar>
          </w:tcPr>
          <w:p w:rsidR="002A3A82" w:rsidRPr="00852F39" w:rsidRDefault="00A340FB">
            <w:pPr>
              <w:pStyle w:val="normal0"/>
              <w:jc w:val="both"/>
              <w:rPr>
                <w:i/>
                <w:sz w:val="24"/>
              </w:rPr>
            </w:pPr>
            <w:r w:rsidRPr="00852F39">
              <w:rPr>
                <w:b/>
                <w:i/>
                <w:sz w:val="24"/>
              </w:rPr>
              <w:t>Savoir-faire</w:t>
            </w:r>
          </w:p>
        </w:tc>
        <w:tc>
          <w:tcPr>
            <w:tcW w:w="6995" w:type="dxa"/>
            <w:shd w:val="clear" w:color="auto" w:fill="DBE5F1" w:themeFill="accent1" w:themeFillTint="33"/>
            <w:tcMar>
              <w:top w:w="100" w:type="dxa"/>
              <w:left w:w="80" w:type="dxa"/>
              <w:bottom w:w="100" w:type="dxa"/>
              <w:right w:w="80" w:type="dxa"/>
            </w:tcMar>
          </w:tcPr>
          <w:p w:rsidR="002A3A82" w:rsidRPr="00852F39" w:rsidRDefault="00A340FB">
            <w:pPr>
              <w:pStyle w:val="normal0"/>
              <w:jc w:val="both"/>
              <w:rPr>
                <w:i/>
                <w:sz w:val="24"/>
              </w:rPr>
            </w:pPr>
            <w:r w:rsidRPr="00852F39">
              <w:rPr>
                <w:b/>
                <w:i/>
                <w:sz w:val="24"/>
              </w:rPr>
              <w:t>Stratégies d’écoute</w:t>
            </w:r>
          </w:p>
        </w:tc>
      </w:tr>
      <w:tr w:rsidR="00CA4D3E" w:rsidRPr="003C41A8" w:rsidTr="008F2779">
        <w:tc>
          <w:tcPr>
            <w:tcW w:w="2165" w:type="dxa"/>
            <w:vMerge w:val="restart"/>
            <w:shd w:val="clear" w:color="auto" w:fill="F2DBDB" w:themeFill="accent2" w:themeFillTint="33"/>
            <w:tcMar>
              <w:top w:w="100" w:type="dxa"/>
              <w:left w:w="80" w:type="dxa"/>
              <w:bottom w:w="100" w:type="dxa"/>
              <w:right w:w="80" w:type="dxa"/>
            </w:tcMar>
            <w:vAlign w:val="center"/>
          </w:tcPr>
          <w:p w:rsidR="00CA4D3E" w:rsidRPr="00D71FDC" w:rsidRDefault="00CA4D3E" w:rsidP="008F2779">
            <w:pPr>
              <w:pStyle w:val="normal0"/>
              <w:jc w:val="center"/>
              <w:rPr>
                <w:b/>
                <w:sz w:val="24"/>
              </w:rPr>
            </w:pPr>
          </w:p>
          <w:p w:rsidR="00CA4D3E" w:rsidRPr="00D71FDC" w:rsidRDefault="00CA4D3E" w:rsidP="008F2779">
            <w:pPr>
              <w:pStyle w:val="normal0"/>
              <w:jc w:val="center"/>
              <w:rPr>
                <w:b/>
                <w:sz w:val="24"/>
              </w:rPr>
            </w:pPr>
            <w:r w:rsidRPr="00D71FDC">
              <w:rPr>
                <w:b/>
                <w:sz w:val="24"/>
              </w:rPr>
              <w:t>Anticiper</w:t>
            </w:r>
          </w:p>
        </w:tc>
        <w:tc>
          <w:tcPr>
            <w:tcW w:w="6995" w:type="dxa"/>
            <w:tcMar>
              <w:top w:w="100" w:type="dxa"/>
              <w:left w:w="80" w:type="dxa"/>
              <w:bottom w:w="100" w:type="dxa"/>
              <w:right w:w="80" w:type="dxa"/>
            </w:tcMar>
          </w:tcPr>
          <w:p w:rsidR="00CA4D3E" w:rsidRDefault="00CA4D3E" w:rsidP="00A2423B">
            <w:pPr>
              <w:pStyle w:val="normal0"/>
              <w:ind w:hanging="359"/>
              <w:rPr>
                <w:b/>
                <w:sz w:val="18"/>
              </w:rPr>
            </w:pPr>
            <w:r w:rsidRPr="003C41A8">
              <w:rPr>
                <w:sz w:val="18"/>
              </w:rPr>
              <w:t xml:space="preserve">·      </w:t>
            </w:r>
            <w:r>
              <w:rPr>
                <w:sz w:val="18"/>
              </w:rPr>
              <w:t xml:space="preserve">- </w:t>
            </w:r>
            <w:r w:rsidRPr="003C41A8">
              <w:rPr>
                <w:b/>
                <w:sz w:val="18"/>
              </w:rPr>
              <w:t xml:space="preserve">Prédire à partir </w:t>
            </w:r>
            <w:r w:rsidR="00A2423B">
              <w:rPr>
                <w:b/>
                <w:sz w:val="18"/>
              </w:rPr>
              <w:t>d'un titre et d'un segment étudié</w:t>
            </w:r>
          </w:p>
          <w:p w:rsidR="00FE5C00" w:rsidRPr="003C41A8" w:rsidRDefault="00FE5C00" w:rsidP="00FE5C00">
            <w:pPr>
              <w:pStyle w:val="normal0"/>
              <w:ind w:left="359" w:hanging="359"/>
              <w:rPr>
                <w:sz w:val="20"/>
              </w:rPr>
            </w:pPr>
            <w:r>
              <w:rPr>
                <w:b/>
                <w:sz w:val="18"/>
              </w:rPr>
              <w:t>- Envisager la suite qui semble logique</w:t>
            </w:r>
          </w:p>
        </w:tc>
      </w:tr>
      <w:tr w:rsidR="00BF18DE" w:rsidRPr="003C41A8" w:rsidTr="008F2779">
        <w:tc>
          <w:tcPr>
            <w:tcW w:w="2165" w:type="dxa"/>
            <w:vMerge/>
            <w:shd w:val="clear" w:color="auto" w:fill="F2DBDB" w:themeFill="accent2" w:themeFillTint="33"/>
            <w:tcMar>
              <w:top w:w="100" w:type="dxa"/>
              <w:left w:w="100" w:type="dxa"/>
              <w:bottom w:w="100" w:type="dxa"/>
              <w:right w:w="100" w:type="dxa"/>
            </w:tcMar>
            <w:vAlign w:val="center"/>
          </w:tcPr>
          <w:p w:rsidR="00BF18DE" w:rsidRPr="00D71FDC" w:rsidRDefault="00BF18DE" w:rsidP="008F2779">
            <w:pPr>
              <w:pStyle w:val="normal0"/>
              <w:jc w:val="center"/>
              <w:rPr>
                <w:b/>
                <w:sz w:val="24"/>
              </w:rPr>
            </w:pPr>
          </w:p>
        </w:tc>
        <w:tc>
          <w:tcPr>
            <w:tcW w:w="6995" w:type="dxa"/>
            <w:tcMar>
              <w:top w:w="100" w:type="dxa"/>
              <w:left w:w="80" w:type="dxa"/>
              <w:bottom w:w="100" w:type="dxa"/>
              <w:right w:w="80" w:type="dxa"/>
            </w:tcMar>
          </w:tcPr>
          <w:p w:rsidR="00BF18DE" w:rsidRPr="00BF18DE" w:rsidRDefault="00BF18DE" w:rsidP="00BF18DE">
            <w:pPr>
              <w:pStyle w:val="normal0"/>
              <w:tabs>
                <w:tab w:val="left" w:pos="2415"/>
              </w:tabs>
              <w:ind w:hanging="359"/>
              <w:jc w:val="both"/>
              <w:rPr>
                <w:b/>
                <w:sz w:val="18"/>
              </w:rPr>
            </w:pPr>
            <w:r w:rsidRPr="00BF18DE">
              <w:rPr>
                <w:b/>
                <w:sz w:val="18"/>
              </w:rPr>
              <w:tab/>
              <w:t>- S'appuyer sur les connaissances partagées</w:t>
            </w:r>
          </w:p>
        </w:tc>
      </w:tr>
      <w:tr w:rsidR="00CA4D3E" w:rsidRPr="003C41A8" w:rsidTr="008F2779">
        <w:tc>
          <w:tcPr>
            <w:tcW w:w="2165" w:type="dxa"/>
            <w:vMerge/>
            <w:shd w:val="clear" w:color="auto" w:fill="F2DBDB" w:themeFill="accent2" w:themeFillTint="33"/>
            <w:tcMar>
              <w:top w:w="100" w:type="dxa"/>
              <w:left w:w="100" w:type="dxa"/>
              <w:bottom w:w="100" w:type="dxa"/>
              <w:right w:w="100" w:type="dxa"/>
            </w:tcMar>
            <w:vAlign w:val="center"/>
          </w:tcPr>
          <w:p w:rsidR="00CA4D3E" w:rsidRPr="00D71FDC" w:rsidRDefault="00CA4D3E" w:rsidP="008F2779">
            <w:pPr>
              <w:pStyle w:val="normal0"/>
              <w:jc w:val="center"/>
              <w:rPr>
                <w:b/>
                <w:sz w:val="24"/>
              </w:rPr>
            </w:pPr>
          </w:p>
        </w:tc>
        <w:tc>
          <w:tcPr>
            <w:tcW w:w="6995" w:type="dxa"/>
            <w:tcMar>
              <w:top w:w="100" w:type="dxa"/>
              <w:left w:w="80" w:type="dxa"/>
              <w:bottom w:w="100" w:type="dxa"/>
              <w:right w:w="80" w:type="dxa"/>
            </w:tcMar>
          </w:tcPr>
          <w:p w:rsidR="00CA4D3E" w:rsidRPr="003C41A8" w:rsidRDefault="00CA4D3E" w:rsidP="00CA4D3E">
            <w:pPr>
              <w:pStyle w:val="normal0"/>
              <w:ind w:hanging="359"/>
              <w:rPr>
                <w:sz w:val="20"/>
              </w:rPr>
            </w:pPr>
            <w:r w:rsidRPr="003C41A8">
              <w:rPr>
                <w:sz w:val="18"/>
              </w:rPr>
              <w:t xml:space="preserve">·      </w:t>
            </w:r>
            <w:r>
              <w:rPr>
                <w:sz w:val="18"/>
              </w:rPr>
              <w:t xml:space="preserve">- </w:t>
            </w:r>
            <w:r w:rsidRPr="003C41A8">
              <w:rPr>
                <w:b/>
                <w:sz w:val="18"/>
              </w:rPr>
              <w:t>Emettre des hypothèses en cours d’écoute puis</w:t>
            </w:r>
            <w:r>
              <w:rPr>
                <w:b/>
                <w:sz w:val="18"/>
              </w:rPr>
              <w:t xml:space="preserve"> les infirmer ou les confirmer. A</w:t>
            </w:r>
            <w:r w:rsidRPr="003C41A8">
              <w:rPr>
                <w:b/>
                <w:sz w:val="18"/>
              </w:rPr>
              <w:t>ccepter de ne pas être sûr de ce qu’on a entendu</w:t>
            </w:r>
          </w:p>
        </w:tc>
      </w:tr>
      <w:tr w:rsidR="00D71FDC" w:rsidRPr="003C41A8" w:rsidTr="00852F39">
        <w:tc>
          <w:tcPr>
            <w:tcW w:w="2165" w:type="dxa"/>
            <w:vMerge w:val="restart"/>
            <w:shd w:val="clear" w:color="auto" w:fill="F2DBDB" w:themeFill="accent2" w:themeFillTint="33"/>
            <w:tcMar>
              <w:top w:w="100" w:type="dxa"/>
              <w:left w:w="100" w:type="dxa"/>
              <w:bottom w:w="100" w:type="dxa"/>
              <w:right w:w="100" w:type="dxa"/>
            </w:tcMar>
            <w:vAlign w:val="center"/>
          </w:tcPr>
          <w:p w:rsidR="00D71FDC" w:rsidRPr="00D71FDC" w:rsidRDefault="00D71FDC" w:rsidP="00852F39">
            <w:pPr>
              <w:pStyle w:val="normal0"/>
              <w:jc w:val="center"/>
              <w:rPr>
                <w:sz w:val="24"/>
              </w:rPr>
            </w:pPr>
            <w:r w:rsidRPr="00D71FDC">
              <w:rPr>
                <w:b/>
                <w:sz w:val="24"/>
              </w:rPr>
              <w:t>Reconnaître</w:t>
            </w:r>
          </w:p>
        </w:tc>
        <w:tc>
          <w:tcPr>
            <w:tcW w:w="6995" w:type="dxa"/>
            <w:tcMar>
              <w:top w:w="100" w:type="dxa"/>
              <w:left w:w="80" w:type="dxa"/>
              <w:bottom w:w="100" w:type="dxa"/>
              <w:right w:w="80" w:type="dxa"/>
            </w:tcMar>
          </w:tcPr>
          <w:p w:rsidR="00D71FDC" w:rsidRPr="003C41A8" w:rsidRDefault="000E7BD1" w:rsidP="00372512">
            <w:pPr>
              <w:pStyle w:val="normal0"/>
              <w:ind w:hanging="359"/>
              <w:rPr>
                <w:sz w:val="20"/>
              </w:rPr>
            </w:pPr>
            <w:r>
              <w:rPr>
                <w:sz w:val="18"/>
              </w:rPr>
              <w:t xml:space="preserve">·      - </w:t>
            </w:r>
            <w:r w:rsidR="00D71FDC" w:rsidRPr="003C41A8">
              <w:rPr>
                <w:sz w:val="18"/>
              </w:rPr>
              <w:t xml:space="preserve"> </w:t>
            </w:r>
            <w:r w:rsidR="00D71FDC" w:rsidRPr="003C41A8">
              <w:rPr>
                <w:b/>
                <w:sz w:val="18"/>
              </w:rPr>
              <w:t>Identifier la source du document afin de mieux en appréhender le sens (typologie du document)</w:t>
            </w:r>
          </w:p>
        </w:tc>
      </w:tr>
      <w:tr w:rsidR="00D71FDC" w:rsidRPr="003C41A8" w:rsidTr="008D0B6C">
        <w:trPr>
          <w:trHeight w:val="804"/>
        </w:trPr>
        <w:tc>
          <w:tcPr>
            <w:tcW w:w="2165" w:type="dxa"/>
            <w:vMerge/>
            <w:shd w:val="clear" w:color="auto" w:fill="F2DBDB" w:themeFill="accent2" w:themeFillTint="33"/>
            <w:tcMar>
              <w:top w:w="100" w:type="dxa"/>
              <w:left w:w="80" w:type="dxa"/>
              <w:bottom w:w="100" w:type="dxa"/>
              <w:right w:w="80" w:type="dxa"/>
            </w:tcMar>
          </w:tcPr>
          <w:p w:rsidR="00D71FDC" w:rsidRPr="003C41A8" w:rsidRDefault="00D71FDC">
            <w:pPr>
              <w:pStyle w:val="normal0"/>
              <w:rPr>
                <w:sz w:val="20"/>
              </w:rPr>
            </w:pPr>
          </w:p>
        </w:tc>
        <w:tc>
          <w:tcPr>
            <w:tcW w:w="6995" w:type="dxa"/>
            <w:tcMar>
              <w:top w:w="100" w:type="dxa"/>
              <w:left w:w="80" w:type="dxa"/>
              <w:bottom w:w="100" w:type="dxa"/>
              <w:right w:w="80" w:type="dxa"/>
            </w:tcMar>
          </w:tcPr>
          <w:p w:rsidR="00D71FDC" w:rsidRPr="003C41A8" w:rsidRDefault="000E7BD1" w:rsidP="000E7BD1">
            <w:pPr>
              <w:pStyle w:val="normal0"/>
              <w:rPr>
                <w:sz w:val="20"/>
              </w:rPr>
            </w:pPr>
            <w:r>
              <w:rPr>
                <w:sz w:val="18"/>
              </w:rPr>
              <w:t xml:space="preserve">- </w:t>
            </w:r>
            <w:r w:rsidR="00D71FDC" w:rsidRPr="003C41A8">
              <w:rPr>
                <w:b/>
                <w:sz w:val="18"/>
              </w:rPr>
              <w:t>Reconnaître des éléments non verbaux qui permettent de situer les</w:t>
            </w:r>
            <w:r>
              <w:rPr>
                <w:b/>
                <w:sz w:val="18"/>
              </w:rPr>
              <w:t xml:space="preserve"> faits dans l’espace ou le temps </w:t>
            </w:r>
            <w:r w:rsidR="00D71FDC" w:rsidRPr="003C41A8">
              <w:rPr>
                <w:b/>
                <w:sz w:val="18"/>
              </w:rPr>
              <w:t>dans un contexte, une situation</w:t>
            </w:r>
          </w:p>
          <w:p w:rsidR="000E7BD1" w:rsidRPr="000E7BD1" w:rsidRDefault="000E7BD1" w:rsidP="000E7BD1">
            <w:pPr>
              <w:pStyle w:val="normal0"/>
              <w:rPr>
                <w:b/>
                <w:sz w:val="18"/>
              </w:rPr>
            </w:pPr>
            <w:r>
              <w:rPr>
                <w:sz w:val="18"/>
              </w:rPr>
              <w:t xml:space="preserve">- </w:t>
            </w:r>
            <w:r w:rsidR="00D71FDC" w:rsidRPr="003C41A8">
              <w:rPr>
                <w:b/>
                <w:sz w:val="18"/>
              </w:rPr>
              <w:t>Reconnaître des sons</w:t>
            </w:r>
          </w:p>
        </w:tc>
      </w:tr>
      <w:tr w:rsidR="00D71FDC" w:rsidRPr="003C41A8" w:rsidTr="00D71FDC">
        <w:tc>
          <w:tcPr>
            <w:tcW w:w="2165" w:type="dxa"/>
            <w:vMerge/>
            <w:shd w:val="clear" w:color="auto" w:fill="F2DBDB" w:themeFill="accent2" w:themeFillTint="33"/>
            <w:tcMar>
              <w:top w:w="100" w:type="dxa"/>
              <w:left w:w="100" w:type="dxa"/>
              <w:bottom w:w="100" w:type="dxa"/>
              <w:right w:w="100" w:type="dxa"/>
            </w:tcMar>
          </w:tcPr>
          <w:p w:rsidR="00D71FDC" w:rsidRPr="003C41A8" w:rsidRDefault="00D71FDC">
            <w:pPr>
              <w:pStyle w:val="normal0"/>
              <w:rPr>
                <w:sz w:val="20"/>
              </w:rPr>
            </w:pPr>
          </w:p>
        </w:tc>
        <w:tc>
          <w:tcPr>
            <w:tcW w:w="6995" w:type="dxa"/>
            <w:tcMar>
              <w:top w:w="100" w:type="dxa"/>
              <w:left w:w="80" w:type="dxa"/>
              <w:bottom w:w="100" w:type="dxa"/>
              <w:right w:w="80" w:type="dxa"/>
            </w:tcMar>
          </w:tcPr>
          <w:p w:rsidR="00D71FDC" w:rsidRPr="003C41A8" w:rsidRDefault="00D71FDC" w:rsidP="00372512">
            <w:pPr>
              <w:pStyle w:val="normal0"/>
              <w:ind w:hanging="359"/>
              <w:rPr>
                <w:sz w:val="20"/>
              </w:rPr>
            </w:pPr>
            <w:r w:rsidRPr="003C41A8">
              <w:rPr>
                <w:sz w:val="18"/>
              </w:rPr>
              <w:t xml:space="preserve">·      </w:t>
            </w:r>
            <w:r w:rsidR="000E7BD1">
              <w:rPr>
                <w:sz w:val="18"/>
              </w:rPr>
              <w:t xml:space="preserve">- </w:t>
            </w:r>
            <w:r w:rsidRPr="003C41A8">
              <w:rPr>
                <w:b/>
                <w:sz w:val="18"/>
              </w:rPr>
              <w:t>Reconnaître grâce à la prosodie, s’il s’agit d’une question, d’un ordre ou d’une exclamation→ induire une attente</w:t>
            </w:r>
          </w:p>
          <w:p w:rsidR="00D71FDC" w:rsidRPr="003C41A8" w:rsidRDefault="00D71FDC" w:rsidP="00372512">
            <w:pPr>
              <w:pStyle w:val="normal0"/>
              <w:ind w:hanging="359"/>
              <w:rPr>
                <w:sz w:val="20"/>
              </w:rPr>
            </w:pPr>
            <w:r w:rsidRPr="003C41A8">
              <w:rPr>
                <w:sz w:val="18"/>
              </w:rPr>
              <w:t xml:space="preserve">·      </w:t>
            </w:r>
            <w:r w:rsidR="000E7BD1">
              <w:rPr>
                <w:sz w:val="18"/>
              </w:rPr>
              <w:t xml:space="preserve">- </w:t>
            </w:r>
            <w:r w:rsidRPr="003C41A8">
              <w:rPr>
                <w:b/>
                <w:sz w:val="18"/>
              </w:rPr>
              <w:t>Reconnaître  en situation des intentions de communication :être attentif au ton, intonation…</w:t>
            </w:r>
          </w:p>
          <w:p w:rsidR="00D71FDC" w:rsidRPr="003C41A8" w:rsidRDefault="00D71FDC" w:rsidP="00372512">
            <w:pPr>
              <w:pStyle w:val="normal0"/>
              <w:ind w:hanging="359"/>
              <w:rPr>
                <w:sz w:val="20"/>
              </w:rPr>
            </w:pPr>
            <w:r w:rsidRPr="003C41A8">
              <w:rPr>
                <w:sz w:val="18"/>
              </w:rPr>
              <w:t xml:space="preserve">·      </w:t>
            </w:r>
            <w:r w:rsidR="000E7BD1">
              <w:rPr>
                <w:sz w:val="18"/>
              </w:rPr>
              <w:t xml:space="preserve">- </w:t>
            </w:r>
            <w:r w:rsidRPr="003C41A8">
              <w:rPr>
                <w:b/>
                <w:sz w:val="18"/>
              </w:rPr>
              <w:t>Reconnaître grâce à l’accentuation l’information principale donnée par un énoncé (mots accentués en anglais)</w:t>
            </w:r>
          </w:p>
        </w:tc>
      </w:tr>
      <w:tr w:rsidR="00D71FDC" w:rsidRPr="003C41A8" w:rsidTr="00D71FDC">
        <w:tc>
          <w:tcPr>
            <w:tcW w:w="2165" w:type="dxa"/>
            <w:vMerge/>
            <w:shd w:val="clear" w:color="auto" w:fill="F2DBDB" w:themeFill="accent2" w:themeFillTint="33"/>
            <w:tcMar>
              <w:top w:w="100" w:type="dxa"/>
              <w:left w:w="100" w:type="dxa"/>
              <w:bottom w:w="100" w:type="dxa"/>
              <w:right w:w="100" w:type="dxa"/>
            </w:tcMar>
          </w:tcPr>
          <w:p w:rsidR="00D71FDC" w:rsidRPr="003C41A8" w:rsidRDefault="00D71FDC">
            <w:pPr>
              <w:pStyle w:val="normal0"/>
              <w:rPr>
                <w:sz w:val="20"/>
              </w:rPr>
            </w:pPr>
          </w:p>
        </w:tc>
        <w:tc>
          <w:tcPr>
            <w:tcW w:w="6995" w:type="dxa"/>
            <w:tcMar>
              <w:top w:w="100" w:type="dxa"/>
              <w:left w:w="80" w:type="dxa"/>
              <w:bottom w:w="100" w:type="dxa"/>
              <w:right w:w="80" w:type="dxa"/>
            </w:tcMar>
          </w:tcPr>
          <w:p w:rsidR="00D71FDC" w:rsidRPr="003C41A8" w:rsidRDefault="00D71FDC" w:rsidP="00372512">
            <w:pPr>
              <w:pStyle w:val="normal0"/>
              <w:ind w:hanging="359"/>
              <w:rPr>
                <w:sz w:val="20"/>
              </w:rPr>
            </w:pPr>
            <w:r w:rsidRPr="003C41A8">
              <w:rPr>
                <w:sz w:val="18"/>
              </w:rPr>
              <w:t xml:space="preserve">·      </w:t>
            </w:r>
            <w:r w:rsidR="000E7BD1">
              <w:rPr>
                <w:sz w:val="18"/>
              </w:rPr>
              <w:t xml:space="preserve">- </w:t>
            </w:r>
            <w:r w:rsidRPr="003C41A8">
              <w:rPr>
                <w:b/>
                <w:sz w:val="18"/>
              </w:rPr>
              <w:t>Reconnaître des éléments lexicaux connus</w:t>
            </w:r>
          </w:p>
        </w:tc>
      </w:tr>
      <w:tr w:rsidR="002A3A82" w:rsidRPr="003C41A8" w:rsidTr="00852F39">
        <w:tc>
          <w:tcPr>
            <w:tcW w:w="2165" w:type="dxa"/>
            <w:shd w:val="clear" w:color="auto" w:fill="F2DBDB" w:themeFill="accent2" w:themeFillTint="33"/>
            <w:tcMar>
              <w:top w:w="100" w:type="dxa"/>
              <w:left w:w="80" w:type="dxa"/>
              <w:bottom w:w="100" w:type="dxa"/>
              <w:right w:w="80" w:type="dxa"/>
            </w:tcMar>
            <w:vAlign w:val="center"/>
          </w:tcPr>
          <w:p w:rsidR="002A3A82" w:rsidRPr="00D71FDC" w:rsidRDefault="00A340FB" w:rsidP="00852F39">
            <w:pPr>
              <w:pStyle w:val="normal0"/>
              <w:jc w:val="center"/>
              <w:rPr>
                <w:b/>
                <w:sz w:val="24"/>
              </w:rPr>
            </w:pPr>
            <w:r w:rsidRPr="00D71FDC">
              <w:rPr>
                <w:b/>
                <w:sz w:val="24"/>
              </w:rPr>
              <w:t>Compenser</w:t>
            </w:r>
          </w:p>
        </w:tc>
        <w:tc>
          <w:tcPr>
            <w:tcW w:w="6995" w:type="dxa"/>
            <w:tcMar>
              <w:top w:w="100" w:type="dxa"/>
              <w:left w:w="80" w:type="dxa"/>
              <w:bottom w:w="100" w:type="dxa"/>
              <w:right w:w="80" w:type="dxa"/>
            </w:tcMar>
          </w:tcPr>
          <w:p w:rsidR="002A3A82" w:rsidRPr="003C41A8" w:rsidRDefault="000E7BD1" w:rsidP="00372512">
            <w:pPr>
              <w:pStyle w:val="normal0"/>
              <w:ind w:hanging="359"/>
              <w:rPr>
                <w:sz w:val="20"/>
              </w:rPr>
            </w:pPr>
            <w:r>
              <w:rPr>
                <w:sz w:val="18"/>
              </w:rPr>
              <w:t>·      -</w:t>
            </w:r>
            <w:r w:rsidR="00A340FB" w:rsidRPr="003C41A8">
              <w:rPr>
                <w:sz w:val="18"/>
              </w:rPr>
              <w:t xml:space="preserve"> </w:t>
            </w:r>
            <w:r w:rsidR="00A340FB" w:rsidRPr="003C41A8">
              <w:rPr>
                <w:b/>
                <w:sz w:val="18"/>
              </w:rPr>
              <w:t>Compenser la perception partielle d’un segment d’un énoncé</w:t>
            </w:r>
          </w:p>
        </w:tc>
      </w:tr>
      <w:tr w:rsidR="00D71FDC" w:rsidRPr="003C41A8" w:rsidTr="00852F39">
        <w:tc>
          <w:tcPr>
            <w:tcW w:w="2165" w:type="dxa"/>
            <w:vMerge w:val="restart"/>
            <w:shd w:val="clear" w:color="auto" w:fill="F2DBDB" w:themeFill="accent2" w:themeFillTint="33"/>
            <w:tcMar>
              <w:top w:w="100" w:type="dxa"/>
              <w:left w:w="80" w:type="dxa"/>
              <w:bottom w:w="100" w:type="dxa"/>
              <w:right w:w="80" w:type="dxa"/>
            </w:tcMar>
            <w:vAlign w:val="center"/>
          </w:tcPr>
          <w:p w:rsidR="00D71FDC" w:rsidRPr="00D71FDC" w:rsidRDefault="00D71FDC" w:rsidP="00852F39">
            <w:pPr>
              <w:pStyle w:val="normal0"/>
              <w:jc w:val="center"/>
              <w:rPr>
                <w:b/>
                <w:sz w:val="24"/>
              </w:rPr>
            </w:pPr>
            <w:r w:rsidRPr="00D71FDC">
              <w:rPr>
                <w:b/>
                <w:sz w:val="24"/>
              </w:rPr>
              <w:t>PUIS</w:t>
            </w:r>
          </w:p>
          <w:p w:rsidR="00D71FDC" w:rsidRPr="00D71FDC" w:rsidRDefault="00D71FDC" w:rsidP="00852F39">
            <w:pPr>
              <w:pStyle w:val="normal0"/>
              <w:jc w:val="center"/>
              <w:rPr>
                <w:b/>
                <w:sz w:val="24"/>
              </w:rPr>
            </w:pPr>
            <w:r w:rsidRPr="00D71FDC">
              <w:rPr>
                <w:b/>
                <w:sz w:val="24"/>
              </w:rPr>
              <w:t>Traiter l’information</w:t>
            </w:r>
          </w:p>
        </w:tc>
        <w:tc>
          <w:tcPr>
            <w:tcW w:w="6995" w:type="dxa"/>
            <w:tcMar>
              <w:top w:w="100" w:type="dxa"/>
              <w:left w:w="80" w:type="dxa"/>
              <w:bottom w:w="100" w:type="dxa"/>
              <w:right w:w="80" w:type="dxa"/>
            </w:tcMar>
          </w:tcPr>
          <w:p w:rsidR="00D71FDC" w:rsidRPr="003C41A8" w:rsidRDefault="000E7BD1" w:rsidP="00827206">
            <w:pPr>
              <w:pStyle w:val="normal0"/>
              <w:ind w:hanging="359"/>
              <w:rPr>
                <w:sz w:val="20"/>
              </w:rPr>
            </w:pPr>
            <w:r>
              <w:rPr>
                <w:sz w:val="18"/>
              </w:rPr>
              <w:t xml:space="preserve">·      - </w:t>
            </w:r>
            <w:r w:rsidR="00D71FDC" w:rsidRPr="003C41A8">
              <w:rPr>
                <w:b/>
                <w:sz w:val="18"/>
              </w:rPr>
              <w:t xml:space="preserve">Analyser </w:t>
            </w:r>
          </w:p>
        </w:tc>
      </w:tr>
      <w:tr w:rsidR="00D71FDC" w:rsidRPr="003C41A8" w:rsidTr="00D71FDC">
        <w:tc>
          <w:tcPr>
            <w:tcW w:w="2165" w:type="dxa"/>
            <w:vMerge/>
            <w:shd w:val="clear" w:color="auto" w:fill="F2DBDB" w:themeFill="accent2" w:themeFillTint="33"/>
            <w:tcMar>
              <w:top w:w="100" w:type="dxa"/>
              <w:left w:w="100" w:type="dxa"/>
              <w:bottom w:w="100" w:type="dxa"/>
              <w:right w:w="100" w:type="dxa"/>
            </w:tcMar>
          </w:tcPr>
          <w:p w:rsidR="00D71FDC" w:rsidRPr="00D71FDC" w:rsidRDefault="00D71FDC">
            <w:pPr>
              <w:pStyle w:val="normal0"/>
              <w:rPr>
                <w:b/>
                <w:sz w:val="24"/>
              </w:rPr>
            </w:pPr>
          </w:p>
        </w:tc>
        <w:tc>
          <w:tcPr>
            <w:tcW w:w="6995" w:type="dxa"/>
            <w:tcMar>
              <w:top w:w="100" w:type="dxa"/>
              <w:left w:w="80" w:type="dxa"/>
              <w:bottom w:w="100" w:type="dxa"/>
              <w:right w:w="80" w:type="dxa"/>
            </w:tcMar>
          </w:tcPr>
          <w:p w:rsidR="00D71FDC" w:rsidRDefault="000E7BD1" w:rsidP="00372512">
            <w:pPr>
              <w:pStyle w:val="normal0"/>
              <w:ind w:hanging="359"/>
              <w:rPr>
                <w:b/>
                <w:sz w:val="18"/>
              </w:rPr>
            </w:pPr>
            <w:r>
              <w:rPr>
                <w:sz w:val="18"/>
              </w:rPr>
              <w:t xml:space="preserve">·      - </w:t>
            </w:r>
            <w:r w:rsidR="00D71FDC" w:rsidRPr="003C41A8">
              <w:rPr>
                <w:b/>
                <w:sz w:val="18"/>
              </w:rPr>
              <w:t>Faire une synthèse</w:t>
            </w:r>
          </w:p>
          <w:p w:rsidR="004B4262" w:rsidRPr="003C41A8" w:rsidRDefault="004B4262" w:rsidP="004B4262">
            <w:pPr>
              <w:pStyle w:val="normal0"/>
              <w:ind w:left="359" w:hanging="359"/>
              <w:rPr>
                <w:sz w:val="20"/>
              </w:rPr>
            </w:pPr>
            <w:r>
              <w:rPr>
                <w:b/>
                <w:color w:val="38761D"/>
                <w:sz w:val="20"/>
              </w:rPr>
              <w:t>en se souvenant :</w:t>
            </w:r>
          </w:p>
          <w:p w:rsidR="004B4262" w:rsidRPr="00372512" w:rsidRDefault="004B4262" w:rsidP="004B4262">
            <w:pPr>
              <w:pStyle w:val="normal0"/>
              <w:ind w:left="359" w:hanging="359"/>
              <w:rPr>
                <w:i/>
                <w:sz w:val="20"/>
              </w:rPr>
            </w:pPr>
            <w:r w:rsidRPr="00372512">
              <w:rPr>
                <w:b/>
                <w:i/>
                <w:color w:val="38761D"/>
                <w:sz w:val="20"/>
              </w:rPr>
              <w:t>* que l’activité d’écoute nécessite des temps de mise en commun, de “pauses récapitulatives” pour aider les élèves à organiser, mémoriser le contenu et se l’approprier en vue de faciliter la trace écrite.</w:t>
            </w:r>
          </w:p>
          <w:p w:rsidR="00D71FDC" w:rsidRPr="003C41A8" w:rsidRDefault="004B4262" w:rsidP="00827206">
            <w:pPr>
              <w:pStyle w:val="normal0"/>
              <w:ind w:left="359" w:hanging="359"/>
              <w:rPr>
                <w:sz w:val="20"/>
              </w:rPr>
            </w:pPr>
            <w:r w:rsidRPr="00372512">
              <w:rPr>
                <w:b/>
                <w:i/>
                <w:color w:val="38761D"/>
                <w:sz w:val="20"/>
              </w:rPr>
              <w:t xml:space="preserve">* à privilégier la récapitulation dans </w:t>
            </w:r>
            <w:r>
              <w:rPr>
                <w:b/>
                <w:i/>
                <w:color w:val="38761D"/>
                <w:sz w:val="20"/>
              </w:rPr>
              <w:t xml:space="preserve">la langue cible </w:t>
            </w:r>
            <w:r w:rsidRPr="00372512">
              <w:rPr>
                <w:b/>
                <w:i/>
                <w:color w:val="38761D"/>
                <w:sz w:val="20"/>
              </w:rPr>
              <w:t>dans le cadre de l'entraînement</w:t>
            </w:r>
            <w:r>
              <w:rPr>
                <w:b/>
                <w:i/>
                <w:color w:val="38761D"/>
                <w:sz w:val="20"/>
              </w:rPr>
              <w:t>.</w:t>
            </w:r>
          </w:p>
        </w:tc>
      </w:tr>
    </w:tbl>
    <w:p w:rsidR="002A3A82" w:rsidRPr="003C41A8" w:rsidRDefault="002A3A82" w:rsidP="005F18FB">
      <w:pPr>
        <w:pStyle w:val="normal0"/>
        <w:ind w:left="359" w:right="-139" w:hanging="359"/>
        <w:rPr>
          <w:sz w:val="20"/>
        </w:rPr>
      </w:pPr>
    </w:p>
    <w:p w:rsidR="002A3A82" w:rsidRPr="003C41A8" w:rsidRDefault="00A340FB" w:rsidP="007A0AD7">
      <w:pPr>
        <w:pStyle w:val="normal0"/>
        <w:numPr>
          <w:ilvl w:val="0"/>
          <w:numId w:val="1"/>
        </w:numPr>
        <w:ind w:left="359" w:right="-139" w:hanging="359"/>
        <w:contextualSpacing/>
        <w:rPr>
          <w:sz w:val="20"/>
        </w:rPr>
      </w:pPr>
      <w:r w:rsidRPr="003C41A8">
        <w:rPr>
          <w:sz w:val="20"/>
        </w:rPr>
        <w:t xml:space="preserve"> Il nous semble important de laisser </w:t>
      </w:r>
      <w:r w:rsidRPr="003C41A8">
        <w:rPr>
          <w:b/>
          <w:sz w:val="20"/>
        </w:rPr>
        <w:t>du t</w:t>
      </w:r>
      <w:r w:rsidR="004B4262">
        <w:rPr>
          <w:b/>
          <w:sz w:val="20"/>
        </w:rPr>
        <w:t>em</w:t>
      </w:r>
      <w:r w:rsidRPr="003C41A8">
        <w:rPr>
          <w:b/>
          <w:sz w:val="20"/>
        </w:rPr>
        <w:t>ps aux élèves après la 1</w:t>
      </w:r>
      <w:r w:rsidRPr="003C41A8">
        <w:rPr>
          <w:b/>
          <w:sz w:val="20"/>
          <w:vertAlign w:val="superscript"/>
        </w:rPr>
        <w:t>ère</w:t>
      </w:r>
      <w:r w:rsidRPr="003C41A8">
        <w:rPr>
          <w:b/>
          <w:sz w:val="20"/>
        </w:rPr>
        <w:t xml:space="preserve"> écoute</w:t>
      </w:r>
      <w:r w:rsidRPr="003C41A8">
        <w:rPr>
          <w:sz w:val="20"/>
        </w:rPr>
        <w:t xml:space="preserve"> afin de leur faire prendre conscience qu’ils ont déjà reçu  un certain nombre d’éléments/d’informations…</w:t>
      </w:r>
    </w:p>
    <w:p w:rsidR="002A3A82" w:rsidRPr="003C41A8" w:rsidRDefault="002A3A82" w:rsidP="007A0AD7">
      <w:pPr>
        <w:pStyle w:val="normal0"/>
        <w:ind w:right="-139"/>
        <w:rPr>
          <w:sz w:val="20"/>
        </w:rPr>
      </w:pPr>
    </w:p>
    <w:p w:rsidR="002A3A82" w:rsidRPr="003C41A8" w:rsidRDefault="00A340FB" w:rsidP="007A0AD7">
      <w:pPr>
        <w:pStyle w:val="normal0"/>
        <w:numPr>
          <w:ilvl w:val="0"/>
          <w:numId w:val="1"/>
        </w:numPr>
        <w:ind w:left="359" w:right="-139" w:hanging="359"/>
        <w:contextualSpacing/>
        <w:rPr>
          <w:sz w:val="20"/>
        </w:rPr>
      </w:pPr>
      <w:r w:rsidRPr="003C41A8">
        <w:rPr>
          <w:sz w:val="20"/>
        </w:rPr>
        <w:t xml:space="preserve">Gestion des productions d’élèves : ne </w:t>
      </w:r>
      <w:r w:rsidRPr="003C41A8">
        <w:rPr>
          <w:b/>
          <w:sz w:val="20"/>
        </w:rPr>
        <w:t>pas focaliser sur les erreurs</w:t>
      </w:r>
      <w:r w:rsidRPr="003C41A8">
        <w:rPr>
          <w:sz w:val="20"/>
        </w:rPr>
        <w:t>…</w:t>
      </w:r>
      <w:r w:rsidR="007A0AD7">
        <w:rPr>
          <w:sz w:val="20"/>
        </w:rPr>
        <w:t xml:space="preserve"> Redéfinir les priorités au moment de la réception. Attention à bien faire la distinction dans les attentes entre compréhension/réception et production/expression.</w:t>
      </w:r>
    </w:p>
    <w:p w:rsidR="002A3A82" w:rsidRPr="003C41A8" w:rsidRDefault="002A3A82" w:rsidP="007A0AD7">
      <w:pPr>
        <w:pStyle w:val="normal0"/>
        <w:ind w:right="-139"/>
        <w:rPr>
          <w:sz w:val="20"/>
        </w:rPr>
      </w:pPr>
    </w:p>
    <w:p w:rsidR="002A3A82" w:rsidRPr="003C41A8" w:rsidRDefault="00A340FB" w:rsidP="007A0AD7">
      <w:pPr>
        <w:pStyle w:val="normal0"/>
        <w:numPr>
          <w:ilvl w:val="0"/>
          <w:numId w:val="1"/>
        </w:numPr>
        <w:ind w:left="359" w:right="-139" w:hanging="359"/>
        <w:contextualSpacing/>
        <w:rPr>
          <w:sz w:val="20"/>
        </w:rPr>
      </w:pPr>
      <w:r w:rsidRPr="003C41A8">
        <w:rPr>
          <w:sz w:val="20"/>
        </w:rPr>
        <w:t>Une pratique régulière nous semble importante pour roder des automatismes</w:t>
      </w:r>
      <w:r w:rsidR="007A0AD7">
        <w:rPr>
          <w:sz w:val="20"/>
        </w:rPr>
        <w:t xml:space="preserve"> (distinction entre entraînement et évaluation)</w:t>
      </w:r>
    </w:p>
    <w:p w:rsidR="002A3A82" w:rsidRPr="003C41A8" w:rsidRDefault="002A3A82" w:rsidP="007A0AD7">
      <w:pPr>
        <w:pStyle w:val="normal0"/>
        <w:ind w:right="-139"/>
        <w:rPr>
          <w:sz w:val="20"/>
        </w:rPr>
      </w:pPr>
    </w:p>
    <w:p w:rsidR="002A3A82" w:rsidRPr="003C41A8" w:rsidRDefault="00A340FB" w:rsidP="007A0AD7">
      <w:pPr>
        <w:pStyle w:val="normal0"/>
        <w:numPr>
          <w:ilvl w:val="0"/>
          <w:numId w:val="1"/>
        </w:numPr>
        <w:ind w:left="359" w:right="-139" w:hanging="359"/>
        <w:contextualSpacing/>
        <w:rPr>
          <w:sz w:val="20"/>
        </w:rPr>
      </w:pPr>
      <w:r w:rsidRPr="003C41A8">
        <w:rPr>
          <w:sz w:val="20"/>
        </w:rPr>
        <w:t>Penser à la gestion du tableau (infos dont on est sûr ou pas…/  faire agir /écrire les élèves éventuellement…cela peut donner lieu à de l’interaction en cas de désaccord...)</w:t>
      </w:r>
    </w:p>
    <w:p w:rsidR="002A3A82" w:rsidRDefault="00A340FB" w:rsidP="007A0AD7">
      <w:pPr>
        <w:pStyle w:val="normal0"/>
        <w:ind w:right="-139"/>
        <w:rPr>
          <w:color w:val="auto"/>
          <w:sz w:val="20"/>
        </w:rPr>
      </w:pPr>
      <w:r w:rsidRPr="007A0AD7">
        <w:rPr>
          <w:color w:val="auto"/>
          <w:sz w:val="20"/>
        </w:rPr>
        <w:t>Au lycée, possibilité de se servir du tableau A2/B1/B2 pour montrer aux élèves comment on construit une progression dans l’écoute. L’élève propose un mot, on le note en A1/A2, un autre élève reprend le mot et explique le lien entre ce mot et le sens du document (donc il fait une phrase !), on peut effacer le mot de la colonne A2, pour le passer en B1 voire B2. Leur montrer aussi que C1 peut être atteignable, c’est valorisant, voire recommandé (Terminale L).</w:t>
      </w:r>
    </w:p>
    <w:p w:rsidR="007A0AD7" w:rsidRDefault="007A0AD7" w:rsidP="007A0AD7">
      <w:pPr>
        <w:pStyle w:val="normal0"/>
        <w:ind w:right="-139"/>
        <w:rPr>
          <w:color w:val="auto"/>
          <w:sz w:val="20"/>
        </w:rPr>
      </w:pPr>
    </w:p>
    <w:p w:rsidR="007A0AD7" w:rsidRPr="007A0AD7" w:rsidRDefault="007A0AD7" w:rsidP="007A0AD7">
      <w:pPr>
        <w:pStyle w:val="normal0"/>
        <w:numPr>
          <w:ilvl w:val="0"/>
          <w:numId w:val="2"/>
        </w:numPr>
        <w:ind w:left="359" w:right="-139"/>
        <w:rPr>
          <w:color w:val="auto"/>
          <w:sz w:val="20"/>
        </w:rPr>
      </w:pPr>
      <w:r>
        <w:rPr>
          <w:color w:val="auto"/>
          <w:sz w:val="20"/>
        </w:rPr>
        <w:t>penser à utiliser les TICE. Exemple : logiciels de mindmapping (à des fins d'organisation) ou traitement de texte (organisation sous forme de tableau)</w:t>
      </w:r>
    </w:p>
    <w:p w:rsidR="002A3A82" w:rsidRPr="003C41A8" w:rsidRDefault="002A3A82" w:rsidP="005F18FB">
      <w:pPr>
        <w:pStyle w:val="normal0"/>
        <w:ind w:left="359" w:right="-139"/>
        <w:rPr>
          <w:sz w:val="20"/>
        </w:rPr>
      </w:pPr>
    </w:p>
    <w:p w:rsidR="002A3A82" w:rsidRPr="003C41A8" w:rsidRDefault="002A3A82" w:rsidP="005F18FB">
      <w:pPr>
        <w:pStyle w:val="normal0"/>
        <w:ind w:left="359" w:right="-139"/>
        <w:rPr>
          <w:sz w:val="20"/>
        </w:rPr>
      </w:pPr>
    </w:p>
    <w:p w:rsidR="002A3A82" w:rsidRDefault="0045762C" w:rsidP="0045762C">
      <w:pPr>
        <w:pStyle w:val="Titre3"/>
        <w:ind w:hanging="359"/>
        <w:contextualSpacing w:val="0"/>
        <w:rPr>
          <w:color w:val="E36C0A" w:themeColor="accent6" w:themeShade="BF"/>
          <w:sz w:val="22"/>
        </w:rPr>
      </w:pPr>
      <w:r>
        <w:rPr>
          <w:color w:val="E36C0A" w:themeColor="accent6" w:themeShade="BF"/>
          <w:sz w:val="22"/>
        </w:rPr>
        <w:t>4. Documents de référence</w:t>
      </w:r>
      <w:r w:rsidR="00A340FB" w:rsidRPr="0045762C">
        <w:rPr>
          <w:color w:val="E36C0A" w:themeColor="accent6" w:themeShade="BF"/>
          <w:sz w:val="22"/>
        </w:rPr>
        <w:t xml:space="preserve"> </w:t>
      </w:r>
    </w:p>
    <w:p w:rsidR="0045762C" w:rsidRPr="0045762C" w:rsidRDefault="0045762C" w:rsidP="0045762C">
      <w:pPr>
        <w:pStyle w:val="normal0"/>
      </w:pPr>
      <w:r>
        <w:t>- la grille d'évaluation de la compréhension orale au baccalauréat :</w:t>
      </w:r>
    </w:p>
    <w:p w:rsidR="002A3A82" w:rsidRPr="003C41A8" w:rsidRDefault="007A0AD7" w:rsidP="005F18FB">
      <w:pPr>
        <w:pStyle w:val="normal0"/>
        <w:ind w:left="359"/>
        <w:rPr>
          <w:sz w:val="20"/>
        </w:rPr>
      </w:pPr>
      <w:r>
        <w:rPr>
          <w:noProof/>
          <w:sz w:val="20"/>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139065</wp:posOffset>
            </wp:positionV>
            <wp:extent cx="5153025" cy="4114800"/>
            <wp:effectExtent l="19050" t="0" r="9525" b="0"/>
            <wp:wrapTight wrapText="bothSides">
              <wp:wrapPolygon edited="0">
                <wp:start x="-80" y="0"/>
                <wp:lineTo x="-80" y="21500"/>
                <wp:lineTo x="21640" y="21500"/>
                <wp:lineTo x="21640" y="0"/>
                <wp:lineTo x="-8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tretch>
                      <a:fillRect/>
                    </a:stretch>
                  </pic:blipFill>
                  <pic:spPr>
                    <a:xfrm>
                      <a:off x="0" y="0"/>
                      <a:ext cx="5153025" cy="4114800"/>
                    </a:xfrm>
                    <a:prstGeom prst="rect">
                      <a:avLst/>
                    </a:prstGeom>
                  </pic:spPr>
                </pic:pic>
              </a:graphicData>
            </a:graphic>
          </wp:anchor>
        </w:drawing>
      </w: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3C41A8" w:rsidRDefault="002A3A82" w:rsidP="005F18FB">
      <w:pPr>
        <w:pStyle w:val="normal0"/>
        <w:ind w:left="359"/>
        <w:rPr>
          <w:sz w:val="20"/>
        </w:rPr>
      </w:pPr>
    </w:p>
    <w:p w:rsidR="002A3A82" w:rsidRPr="0045762C" w:rsidRDefault="00A340FB" w:rsidP="005F18FB">
      <w:pPr>
        <w:pStyle w:val="normal0"/>
        <w:ind w:left="359"/>
        <w:rPr>
          <w:i/>
          <w:sz w:val="20"/>
        </w:rPr>
      </w:pPr>
      <w:r w:rsidRPr="0045762C">
        <w:rPr>
          <w:b/>
          <w:i/>
          <w:color w:val="38761D"/>
          <w:sz w:val="20"/>
        </w:rPr>
        <w:t>Tableau qui synthétise cette grille (académie de Versailles)</w:t>
      </w:r>
    </w:p>
    <w:p w:rsidR="002A3A82" w:rsidRPr="003C41A8" w:rsidRDefault="00A340FB" w:rsidP="005F18FB">
      <w:pPr>
        <w:pStyle w:val="normal0"/>
        <w:ind w:left="359"/>
        <w:rPr>
          <w:sz w:val="20"/>
        </w:rPr>
      </w:pPr>
      <w:r w:rsidRPr="003C41A8">
        <w:rPr>
          <w:noProof/>
          <w:sz w:val="20"/>
        </w:rPr>
        <w:drawing>
          <wp:inline distT="114300" distB="114300" distL="114300" distR="114300">
            <wp:extent cx="5476875" cy="32861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5476875" cy="3286125"/>
                    </a:xfrm>
                    <a:prstGeom prst="rect">
                      <a:avLst/>
                    </a:prstGeom>
                  </pic:spPr>
                </pic:pic>
              </a:graphicData>
            </a:graphic>
          </wp:inline>
        </w:drawing>
      </w:r>
    </w:p>
    <w:p w:rsidR="002A3A82" w:rsidRPr="003C41A8" w:rsidRDefault="002A3A82" w:rsidP="005F18FB">
      <w:pPr>
        <w:pStyle w:val="normal0"/>
        <w:ind w:left="359"/>
        <w:rPr>
          <w:sz w:val="20"/>
        </w:rPr>
      </w:pPr>
    </w:p>
    <w:p w:rsidR="002A3A82" w:rsidRDefault="0045762C" w:rsidP="0045762C">
      <w:pPr>
        <w:pStyle w:val="normal0"/>
      </w:pPr>
      <w:r>
        <w:t xml:space="preserve">- </w:t>
      </w:r>
      <w:r w:rsidR="00A340FB" w:rsidRPr="0045762C">
        <w:t>des exemples de documents audios accompagnés de leur grille d’évaluation détaillée :</w:t>
      </w:r>
    </w:p>
    <w:p w:rsidR="0045762C" w:rsidRDefault="0045762C" w:rsidP="0045762C">
      <w:pPr>
        <w:pStyle w:val="normal0"/>
      </w:pPr>
      <w:r>
        <w:t>sur le site eduscol (</w:t>
      </w:r>
      <w:hyperlink r:id="rId7" w:history="1">
        <w:r w:rsidRPr="0045762C">
          <w:rPr>
            <w:rStyle w:val="Lienhypertexte"/>
          </w:rPr>
          <w:t>lien cliquable</w:t>
        </w:r>
      </w:hyperlink>
      <w:r>
        <w:t>)</w:t>
      </w:r>
    </w:p>
    <w:p w:rsidR="0045762C" w:rsidRPr="0045762C" w:rsidRDefault="0045762C" w:rsidP="0045762C">
      <w:pPr>
        <w:pStyle w:val="normal0"/>
      </w:pPr>
    </w:p>
    <w:p w:rsidR="002A3A82" w:rsidRDefault="002A3A82" w:rsidP="005F18FB">
      <w:pPr>
        <w:pStyle w:val="normal0"/>
        <w:ind w:left="359"/>
      </w:pPr>
    </w:p>
    <w:sectPr w:rsidR="002A3A82" w:rsidSect="002A3A8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8F3"/>
    <w:multiLevelType w:val="multilevel"/>
    <w:tmpl w:val="25AC9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8B19F1"/>
    <w:multiLevelType w:val="hybridMultilevel"/>
    <w:tmpl w:val="8558FD40"/>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compat>
    <w:useFELayout/>
  </w:compat>
  <w:rsids>
    <w:rsidRoot w:val="002A3A82"/>
    <w:rsid w:val="000E7BD1"/>
    <w:rsid w:val="001656BF"/>
    <w:rsid w:val="002A3A82"/>
    <w:rsid w:val="00372512"/>
    <w:rsid w:val="003A6D03"/>
    <w:rsid w:val="003C41A8"/>
    <w:rsid w:val="0045762C"/>
    <w:rsid w:val="004A3DE0"/>
    <w:rsid w:val="004B4262"/>
    <w:rsid w:val="005367EC"/>
    <w:rsid w:val="005F18FB"/>
    <w:rsid w:val="007A0AD7"/>
    <w:rsid w:val="00827206"/>
    <w:rsid w:val="00852F39"/>
    <w:rsid w:val="008C5215"/>
    <w:rsid w:val="008D0B6C"/>
    <w:rsid w:val="00A2423B"/>
    <w:rsid w:val="00A340FB"/>
    <w:rsid w:val="00AD0468"/>
    <w:rsid w:val="00B53C47"/>
    <w:rsid w:val="00B540DA"/>
    <w:rsid w:val="00BF18DE"/>
    <w:rsid w:val="00C355EE"/>
    <w:rsid w:val="00CA4D3E"/>
    <w:rsid w:val="00D71FDC"/>
    <w:rsid w:val="00D756D4"/>
    <w:rsid w:val="00F47920"/>
    <w:rsid w:val="00F820EB"/>
    <w:rsid w:val="00FE5C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68"/>
  </w:style>
  <w:style w:type="paragraph" w:styleId="Titre1">
    <w:name w:val="heading 1"/>
    <w:basedOn w:val="normal0"/>
    <w:next w:val="normal0"/>
    <w:rsid w:val="002A3A82"/>
    <w:pPr>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2A3A82"/>
    <w:pPr>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2A3A82"/>
    <w:pPr>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2A3A82"/>
    <w:pPr>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2A3A82"/>
    <w:pPr>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2A3A82"/>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2A3A82"/>
    <w:pPr>
      <w:spacing w:after="0"/>
    </w:pPr>
    <w:rPr>
      <w:rFonts w:ascii="Arial" w:eastAsia="Arial" w:hAnsi="Arial" w:cs="Arial"/>
      <w:color w:val="000000"/>
    </w:rPr>
  </w:style>
  <w:style w:type="paragraph" w:styleId="Titre">
    <w:name w:val="Title"/>
    <w:basedOn w:val="normal0"/>
    <w:next w:val="normal0"/>
    <w:rsid w:val="002A3A82"/>
    <w:pPr>
      <w:contextualSpacing/>
    </w:pPr>
    <w:rPr>
      <w:rFonts w:ascii="Trebuchet MS" w:eastAsia="Trebuchet MS" w:hAnsi="Trebuchet MS" w:cs="Trebuchet MS"/>
      <w:sz w:val="42"/>
    </w:rPr>
  </w:style>
  <w:style w:type="paragraph" w:styleId="Sous-titre">
    <w:name w:val="Subtitle"/>
    <w:basedOn w:val="normal0"/>
    <w:next w:val="normal0"/>
    <w:rsid w:val="002A3A82"/>
    <w:pPr>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3C41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1A8"/>
    <w:rPr>
      <w:rFonts w:ascii="Tahoma" w:hAnsi="Tahoma" w:cs="Tahoma"/>
      <w:sz w:val="16"/>
      <w:szCs w:val="16"/>
    </w:rPr>
  </w:style>
  <w:style w:type="character" w:styleId="Lienhypertexte">
    <w:name w:val="Hyperlink"/>
    <w:basedOn w:val="Policepardfaut"/>
    <w:uiPriority w:val="99"/>
    <w:unhideWhenUsed/>
    <w:rsid w:val="0045762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che.media.eduscol.education.fr/file/Lycee/35/1/Sujet0-2013_T_anglais_comprehension-orale_2333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808</Words>
  <Characters>4448</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tutoriel.docx</vt:lpstr>
      <vt:lpstr>Tutoriel : la compréhension orale de documents audio/vidéo</vt:lpstr>
      <vt:lpstr>        1.       A quel moment le document s’inscrit-il dans la séquence pédagogique ? A</vt:lpstr>
      <vt:lpstr>        2.       Le choix du document. </vt:lpstr>
      <vt:lpstr>        3.       A quelle(s) stratégie(s) le document va-t-il entraîner en particulier ?</vt:lpstr>
      <vt:lpstr>Acquisition de stratégies afin de mieux construire l'activité de compréhension d</vt:lpstr>
      <vt:lpstr>        4. Documents de référence </vt:lpstr>
    </vt:vector>
  </TitlesOfParts>
  <Company>Hewlett-Packard</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tutoriel.docx</dc:title>
  <cp:lastModifiedBy>Fabrice</cp:lastModifiedBy>
  <cp:revision>16</cp:revision>
  <dcterms:created xsi:type="dcterms:W3CDTF">2013-11-17T14:55:00Z</dcterms:created>
  <dcterms:modified xsi:type="dcterms:W3CDTF">2014-06-11T15:21:00Z</dcterms:modified>
</cp:coreProperties>
</file>